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3D1" w:rsidRPr="00C073D1" w:rsidRDefault="00C073D1" w:rsidP="00C073D1">
      <w:pPr>
        <w:pStyle w:val="Heading2"/>
        <w:spacing w:before="240"/>
        <w:rPr>
          <w:rFonts w:cs="Arial"/>
          <w:b/>
          <w:bCs/>
          <w:szCs w:val="28"/>
        </w:rPr>
      </w:pPr>
      <w:bookmarkStart w:id="0" w:name="_Toc279150101"/>
      <w:r w:rsidRPr="00C073D1">
        <w:rPr>
          <w:rFonts w:cs="Arial"/>
          <w:b/>
          <w:bCs/>
          <w:szCs w:val="28"/>
        </w:rPr>
        <w:t>How to determine whether a space is a confined spac</w:t>
      </w:r>
      <w:bookmarkEnd w:id="0"/>
      <w:r w:rsidRPr="00C073D1">
        <w:rPr>
          <w:rFonts w:cs="Arial"/>
          <w:b/>
          <w:bCs/>
          <w:szCs w:val="28"/>
        </w:rPr>
        <w:t>e</w:t>
      </w:r>
    </w:p>
    <w:p w:rsidR="00C073D1" w:rsidRDefault="00C073D1" w:rsidP="00C073D1">
      <w:pPr>
        <w:spacing w:after="120"/>
        <w:rPr>
          <w:rFonts w:ascii="Arial" w:hAnsi="Arial" w:cs="Arial"/>
          <w:color w:val="000000"/>
          <w:szCs w:val="22"/>
        </w:rPr>
      </w:pPr>
    </w:p>
    <w:p w:rsidR="00C073D1" w:rsidRPr="00C073D1" w:rsidRDefault="00C073D1" w:rsidP="00C073D1">
      <w:pPr>
        <w:spacing w:after="120"/>
        <w:rPr>
          <w:rFonts w:ascii="Arial" w:hAnsi="Arial" w:cs="Arial"/>
          <w:color w:val="000000"/>
          <w:szCs w:val="22"/>
        </w:rPr>
      </w:pPr>
      <w:r w:rsidRPr="00C073D1">
        <w:rPr>
          <w:rFonts w:ascii="Arial" w:hAnsi="Arial" w:cs="Arial"/>
          <w:color w:val="000000"/>
          <w:szCs w:val="22"/>
        </w:rPr>
        <w:t xml:space="preserve">Asking </w:t>
      </w:r>
      <w:r w:rsidRPr="00C073D1">
        <w:rPr>
          <w:rFonts w:ascii="Arial" w:hAnsi="Arial" w:cs="Arial"/>
        </w:rPr>
        <w:t>the</w:t>
      </w:r>
      <w:r w:rsidRPr="00C073D1">
        <w:rPr>
          <w:rFonts w:ascii="Arial" w:hAnsi="Arial" w:cs="Arial"/>
          <w:color w:val="000000"/>
          <w:szCs w:val="22"/>
        </w:rPr>
        <w:t xml:space="preserve"> following questions will help you determine whether a space is a ‘confined space’ for purposes of the </w:t>
      </w:r>
      <w:r w:rsidR="006E36FF">
        <w:rPr>
          <w:rFonts w:ascii="Arial" w:hAnsi="Arial" w:cs="Arial"/>
          <w:color w:val="000000"/>
          <w:szCs w:val="22"/>
        </w:rPr>
        <w:t>OHS&amp;W</w:t>
      </w:r>
      <w:r w:rsidRPr="00C073D1">
        <w:rPr>
          <w:rFonts w:ascii="Arial" w:hAnsi="Arial" w:cs="Arial"/>
          <w:color w:val="000000"/>
          <w:szCs w:val="22"/>
        </w:rPr>
        <w:t xml:space="preserve"> Regulations.</w:t>
      </w:r>
    </w:p>
    <w:p w:rsidR="00C073D1" w:rsidRPr="00C073D1" w:rsidRDefault="00C073D1" w:rsidP="00C073D1">
      <w:pPr>
        <w:spacing w:before="120"/>
        <w:rPr>
          <w:rFonts w:ascii="Arial" w:hAnsi="Arial" w:cs="Arial"/>
          <w:b/>
          <w:i/>
          <w:color w:val="000000"/>
          <w:szCs w:val="22"/>
        </w:rPr>
      </w:pPr>
      <w:r w:rsidRPr="00C073D1">
        <w:rPr>
          <w:rFonts w:ascii="Arial" w:hAnsi="Arial" w:cs="Arial"/>
          <w:b/>
          <w:i/>
          <w:color w:val="000000"/>
          <w:szCs w:val="22"/>
        </w:rPr>
        <w:t>A.</w:t>
      </w:r>
      <w:r w:rsidRPr="00C073D1">
        <w:rPr>
          <w:rFonts w:ascii="Arial" w:hAnsi="Arial" w:cs="Arial"/>
          <w:b/>
          <w:i/>
          <w:color w:val="000000"/>
          <w:szCs w:val="22"/>
        </w:rPr>
        <w:tab/>
        <w:t>Is the space enclosed or partially enclosed and not designed to be primarily occupied or entered by a person?</w:t>
      </w:r>
    </w:p>
    <w:p w:rsidR="00C073D1" w:rsidRPr="00C073D1" w:rsidRDefault="00C073D1" w:rsidP="00C073D1">
      <w:pPr>
        <w:spacing w:before="120"/>
        <w:rPr>
          <w:rFonts w:ascii="Arial" w:hAnsi="Arial" w:cs="Arial"/>
          <w:color w:val="000000"/>
          <w:szCs w:val="22"/>
        </w:rPr>
      </w:pPr>
      <w:r w:rsidRPr="00C073D1">
        <w:rPr>
          <w:rFonts w:ascii="Arial" w:hAnsi="Arial" w:cs="Arial"/>
          <w:color w:val="000000"/>
          <w:szCs w:val="22"/>
        </w:rPr>
        <w:t xml:space="preserve">Places such as offices and workshops are intended for human occupancy and generally have adequate ventilation, lighting and safe means of entry and exit. This means that these kinds of workplaces are not confined spaces for purposes of the </w:t>
      </w:r>
      <w:r w:rsidR="006E36FF">
        <w:rPr>
          <w:rFonts w:ascii="Arial" w:hAnsi="Arial" w:cs="Arial"/>
          <w:color w:val="000000"/>
          <w:szCs w:val="22"/>
        </w:rPr>
        <w:t>OHS&amp;W</w:t>
      </w:r>
      <w:r w:rsidRPr="00C073D1">
        <w:rPr>
          <w:rFonts w:ascii="Arial" w:hAnsi="Arial" w:cs="Arial"/>
          <w:color w:val="000000"/>
          <w:szCs w:val="22"/>
        </w:rPr>
        <w:t xml:space="preserve"> Regulations.</w:t>
      </w:r>
    </w:p>
    <w:p w:rsidR="00C073D1" w:rsidRPr="00C073D1" w:rsidRDefault="00C073D1" w:rsidP="00C073D1">
      <w:pPr>
        <w:spacing w:before="120"/>
        <w:rPr>
          <w:rFonts w:ascii="Arial" w:hAnsi="Arial" w:cs="Arial"/>
          <w:color w:val="000000"/>
          <w:szCs w:val="22"/>
        </w:rPr>
      </w:pPr>
      <w:r w:rsidRPr="00C073D1">
        <w:rPr>
          <w:rFonts w:ascii="Arial" w:hAnsi="Arial" w:cs="Arial"/>
          <w:color w:val="000000"/>
          <w:szCs w:val="22"/>
        </w:rPr>
        <w:t>Some enclosed or partially enclosed spaces may have atmospheric contaminants that are harmful to persons but are designed for a person to occupy, for example abrasive blasting or spray painting booths. These would also generally not be confined spaces.</w:t>
      </w:r>
    </w:p>
    <w:p w:rsidR="00C073D1" w:rsidRPr="00C073D1" w:rsidRDefault="00C073D1" w:rsidP="00C073D1">
      <w:pPr>
        <w:spacing w:before="120"/>
        <w:rPr>
          <w:rFonts w:ascii="Arial" w:hAnsi="Arial" w:cs="Arial"/>
          <w:color w:val="000000"/>
          <w:szCs w:val="22"/>
        </w:rPr>
      </w:pPr>
      <w:r w:rsidRPr="00C073D1">
        <w:rPr>
          <w:rFonts w:ascii="Arial" w:hAnsi="Arial" w:cs="Arial"/>
          <w:color w:val="000000"/>
          <w:szCs w:val="22"/>
        </w:rPr>
        <w:t xml:space="preserve">The size of the space is not relevant when working out whether a space is a confined space for purposes of the </w:t>
      </w:r>
      <w:r w:rsidR="006E36FF">
        <w:rPr>
          <w:rFonts w:ascii="Arial" w:hAnsi="Arial" w:cs="Arial"/>
          <w:color w:val="000000"/>
          <w:szCs w:val="22"/>
        </w:rPr>
        <w:t>OHS&amp;W</w:t>
      </w:r>
      <w:r w:rsidRPr="00C073D1">
        <w:rPr>
          <w:rFonts w:ascii="Arial" w:hAnsi="Arial" w:cs="Arial"/>
          <w:color w:val="000000"/>
          <w:szCs w:val="22"/>
        </w:rPr>
        <w:t xml:space="preserve"> Regulations.</w:t>
      </w:r>
    </w:p>
    <w:p w:rsidR="00C073D1" w:rsidRPr="00C073D1" w:rsidRDefault="00A76EEC" w:rsidP="00C073D1">
      <w:pPr>
        <w:jc w:val="center"/>
        <w:rPr>
          <w:rFonts w:ascii="Arial" w:hAnsi="Arial" w:cs="Arial"/>
          <w:color w:val="000000"/>
          <w:szCs w:val="22"/>
        </w:rPr>
      </w:pPr>
      <w:r w:rsidRPr="00C073D1">
        <w:rPr>
          <w:rFonts w:ascii="Arial" w:hAnsi="Arial" w:cs="Arial"/>
          <w:noProof/>
          <w:color w:val="000000"/>
          <w:szCs w:val="22"/>
          <w:lang w:val="en-AU" w:eastAsia="en-AU"/>
        </w:rPr>
        <w:drawing>
          <wp:inline distT="0" distB="0" distL="0" distR="0">
            <wp:extent cx="3190875" cy="933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33450"/>
                    </a:xfrm>
                    <a:prstGeom prst="rect">
                      <a:avLst/>
                    </a:prstGeom>
                    <a:noFill/>
                    <a:ln>
                      <a:noFill/>
                    </a:ln>
                  </pic:spPr>
                </pic:pic>
              </a:graphicData>
            </a:graphic>
          </wp:inline>
        </w:drawing>
      </w:r>
    </w:p>
    <w:p w:rsidR="00C073D1" w:rsidRPr="00C073D1" w:rsidRDefault="00C073D1" w:rsidP="00C073D1">
      <w:pPr>
        <w:spacing w:before="120"/>
        <w:rPr>
          <w:rFonts w:ascii="Arial" w:hAnsi="Arial" w:cs="Arial"/>
          <w:b/>
          <w:i/>
          <w:color w:val="000000"/>
          <w:szCs w:val="22"/>
        </w:rPr>
      </w:pPr>
      <w:r w:rsidRPr="00C073D1">
        <w:rPr>
          <w:rFonts w:ascii="Arial" w:hAnsi="Arial" w:cs="Arial"/>
          <w:b/>
          <w:i/>
          <w:color w:val="000000"/>
          <w:szCs w:val="22"/>
        </w:rPr>
        <w:t>B.</w:t>
      </w:r>
      <w:r w:rsidRPr="00C073D1">
        <w:rPr>
          <w:rFonts w:ascii="Arial" w:hAnsi="Arial" w:cs="Arial"/>
          <w:b/>
          <w:i/>
          <w:color w:val="000000"/>
          <w:szCs w:val="22"/>
        </w:rPr>
        <w:tab/>
        <w:t>Is it likely to be entered and is it at normal atmospheric pressure while a person is in the space?</w:t>
      </w:r>
    </w:p>
    <w:p w:rsidR="00C073D1" w:rsidRPr="00C073D1" w:rsidRDefault="00C073D1" w:rsidP="00C073D1">
      <w:pPr>
        <w:spacing w:before="120"/>
        <w:rPr>
          <w:rFonts w:ascii="Arial" w:hAnsi="Arial" w:cs="Arial"/>
          <w:color w:val="000000"/>
          <w:szCs w:val="22"/>
        </w:rPr>
      </w:pPr>
      <w:r w:rsidRPr="00C073D1">
        <w:rPr>
          <w:rFonts w:ascii="Arial" w:hAnsi="Arial" w:cs="Arial"/>
          <w:color w:val="000000"/>
          <w:szCs w:val="22"/>
        </w:rPr>
        <w:t>Entry to a confined space is considered to have occurred when a person’s head or upper body enters the space, or if the person is close enough to the opening that there is a risk that they could accidentally enter the confined space (for example, if they are overcome by harmful gases).</w:t>
      </w:r>
    </w:p>
    <w:p w:rsidR="00C073D1" w:rsidRPr="00C073D1" w:rsidRDefault="00A76EEC" w:rsidP="00C073D1">
      <w:pPr>
        <w:spacing w:before="120"/>
        <w:jc w:val="center"/>
        <w:rPr>
          <w:rFonts w:ascii="Arial" w:hAnsi="Arial" w:cs="Arial"/>
          <w:color w:val="000000"/>
          <w:szCs w:val="22"/>
        </w:rPr>
      </w:pPr>
      <w:r w:rsidRPr="00C073D1">
        <w:rPr>
          <w:rFonts w:ascii="Arial" w:hAnsi="Arial" w:cs="Arial"/>
          <w:noProof/>
          <w:color w:val="000000"/>
          <w:szCs w:val="22"/>
          <w:lang w:val="en-AU" w:eastAsia="en-AU"/>
        </w:rPr>
        <w:drawing>
          <wp:inline distT="0" distB="0" distL="0" distR="0">
            <wp:extent cx="3190875" cy="933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33450"/>
                    </a:xfrm>
                    <a:prstGeom prst="rect">
                      <a:avLst/>
                    </a:prstGeom>
                    <a:noFill/>
                    <a:ln>
                      <a:noFill/>
                    </a:ln>
                  </pic:spPr>
                </pic:pic>
              </a:graphicData>
            </a:graphic>
          </wp:inline>
        </w:drawing>
      </w:r>
    </w:p>
    <w:p w:rsidR="00C073D1" w:rsidRPr="00C073D1" w:rsidRDefault="00C073D1" w:rsidP="00C073D1">
      <w:pPr>
        <w:jc w:val="center"/>
        <w:rPr>
          <w:rFonts w:ascii="Arial" w:hAnsi="Arial" w:cs="Arial"/>
          <w:color w:val="000000"/>
          <w:szCs w:val="22"/>
        </w:rPr>
      </w:pPr>
    </w:p>
    <w:p w:rsidR="00C073D1" w:rsidRPr="00C073D1" w:rsidRDefault="00C073D1" w:rsidP="00C073D1">
      <w:pPr>
        <w:spacing w:before="120"/>
        <w:rPr>
          <w:rFonts w:ascii="Arial" w:hAnsi="Arial" w:cs="Arial"/>
          <w:color w:val="000000"/>
          <w:szCs w:val="22"/>
        </w:rPr>
      </w:pPr>
      <w:r w:rsidRPr="00C073D1">
        <w:rPr>
          <w:rFonts w:ascii="Arial" w:hAnsi="Arial" w:cs="Arial"/>
          <w:b/>
          <w:i/>
          <w:color w:val="000000"/>
          <w:szCs w:val="22"/>
        </w:rPr>
        <w:t>C.</w:t>
      </w:r>
      <w:r w:rsidRPr="00C073D1">
        <w:rPr>
          <w:rFonts w:ascii="Arial" w:hAnsi="Arial" w:cs="Arial"/>
          <w:b/>
          <w:i/>
          <w:color w:val="000000"/>
          <w:szCs w:val="22"/>
        </w:rPr>
        <w:tab/>
        <w:t>Does the space have a restricted means of entry and exit?</w:t>
      </w:r>
      <w:r w:rsidRPr="00C073D1">
        <w:rPr>
          <w:rFonts w:ascii="Arial" w:hAnsi="Arial" w:cs="Arial"/>
          <w:color w:val="000000"/>
          <w:szCs w:val="22"/>
        </w:rPr>
        <w:t xml:space="preserve"> </w:t>
      </w:r>
    </w:p>
    <w:p w:rsidR="00C073D1" w:rsidRPr="00C073D1" w:rsidRDefault="00C073D1" w:rsidP="00C073D1">
      <w:pPr>
        <w:spacing w:before="120"/>
        <w:rPr>
          <w:rFonts w:ascii="Arial" w:hAnsi="Arial" w:cs="Arial"/>
          <w:color w:val="000000"/>
          <w:szCs w:val="22"/>
        </w:rPr>
      </w:pPr>
      <w:r w:rsidRPr="00C073D1">
        <w:rPr>
          <w:rFonts w:ascii="Arial" w:hAnsi="Arial" w:cs="Arial"/>
          <w:color w:val="000000"/>
          <w:szCs w:val="22"/>
        </w:rPr>
        <w:t>The entry or exit to the space may be restricted by the size of the opening and/or its location. This may affect whether the space is physically difficult to get in or out of and whether it would be difficult to remove an injured or unconscious person from the space.</w:t>
      </w:r>
    </w:p>
    <w:p w:rsidR="00C073D1" w:rsidRPr="00C073D1" w:rsidRDefault="00A76EEC" w:rsidP="00C073D1">
      <w:pPr>
        <w:jc w:val="center"/>
        <w:rPr>
          <w:rFonts w:ascii="Arial" w:hAnsi="Arial" w:cs="Arial"/>
          <w:color w:val="000000"/>
          <w:szCs w:val="22"/>
        </w:rPr>
      </w:pPr>
      <w:bookmarkStart w:id="1" w:name="_GoBack"/>
      <w:r w:rsidRPr="00C073D1">
        <w:rPr>
          <w:rFonts w:ascii="Arial" w:hAnsi="Arial" w:cs="Arial"/>
          <w:noProof/>
          <w:color w:val="000000"/>
          <w:szCs w:val="22"/>
          <w:lang w:val="en-AU" w:eastAsia="en-AU"/>
        </w:rPr>
        <w:drawing>
          <wp:inline distT="0" distB="0" distL="0" distR="0">
            <wp:extent cx="3190875" cy="933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933450"/>
                    </a:xfrm>
                    <a:prstGeom prst="rect">
                      <a:avLst/>
                    </a:prstGeom>
                    <a:noFill/>
                    <a:ln>
                      <a:noFill/>
                    </a:ln>
                  </pic:spPr>
                </pic:pic>
              </a:graphicData>
            </a:graphic>
          </wp:inline>
        </w:drawing>
      </w:r>
    </w:p>
    <w:bookmarkEnd w:id="1"/>
    <w:p w:rsidR="00C073D1" w:rsidRPr="00C073D1" w:rsidRDefault="00C073D1" w:rsidP="00C073D1">
      <w:pPr>
        <w:keepNext/>
        <w:keepLines/>
        <w:spacing w:before="120" w:after="120"/>
        <w:rPr>
          <w:rFonts w:ascii="Arial" w:hAnsi="Arial" w:cs="Arial"/>
          <w:b/>
          <w:i/>
          <w:color w:val="000000"/>
          <w:szCs w:val="22"/>
        </w:rPr>
      </w:pPr>
      <w:r w:rsidRPr="00C073D1">
        <w:rPr>
          <w:rFonts w:ascii="Arial" w:hAnsi="Arial" w:cs="Arial"/>
          <w:b/>
          <w:i/>
          <w:color w:val="000000"/>
          <w:szCs w:val="22"/>
        </w:rPr>
        <w:lastRenderedPageBreak/>
        <w:t>D.</w:t>
      </w:r>
      <w:r w:rsidRPr="00C073D1">
        <w:rPr>
          <w:rFonts w:ascii="Arial" w:hAnsi="Arial" w:cs="Arial"/>
          <w:b/>
          <w:i/>
          <w:color w:val="000000"/>
          <w:szCs w:val="22"/>
        </w:rPr>
        <w:tab/>
        <w:t>Does the space present a risk from a dangerous atmosphere or a risk of engulfment?</w:t>
      </w:r>
    </w:p>
    <w:p w:rsidR="00C073D1" w:rsidRPr="00C073D1" w:rsidRDefault="00C073D1" w:rsidP="00C073D1">
      <w:pPr>
        <w:spacing w:before="120" w:after="120"/>
        <w:rPr>
          <w:rFonts w:ascii="Arial" w:hAnsi="Arial" w:cs="Arial"/>
          <w:color w:val="000000"/>
          <w:szCs w:val="22"/>
        </w:rPr>
      </w:pPr>
      <w:r w:rsidRPr="00C073D1">
        <w:rPr>
          <w:rFonts w:ascii="Arial" w:hAnsi="Arial" w:cs="Arial"/>
          <w:color w:val="000000"/>
          <w:szCs w:val="22"/>
        </w:rPr>
        <w:t>A space is a confined space if it meets all of the other criteria for confined spaces (if the answer is ‘yes’ to A, B and C above) and it presents a risk to health and safety from one or more of the following:</w:t>
      </w:r>
    </w:p>
    <w:p w:rsidR="00C073D1" w:rsidRPr="00C073D1" w:rsidRDefault="00C073D1" w:rsidP="00C073D1">
      <w:pPr>
        <w:numPr>
          <w:ilvl w:val="0"/>
          <w:numId w:val="29"/>
        </w:numPr>
        <w:spacing w:after="120"/>
        <w:ind w:left="714" w:hanging="357"/>
        <w:rPr>
          <w:rFonts w:ascii="Arial" w:hAnsi="Arial" w:cs="Arial"/>
          <w:color w:val="000000"/>
          <w:szCs w:val="22"/>
        </w:rPr>
      </w:pPr>
      <w:r w:rsidRPr="00C073D1">
        <w:rPr>
          <w:rFonts w:ascii="Arial" w:hAnsi="Arial" w:cs="Arial"/>
          <w:color w:val="000000"/>
          <w:szCs w:val="22"/>
        </w:rPr>
        <w:t xml:space="preserve">an </w:t>
      </w:r>
      <w:r w:rsidRPr="00C073D1">
        <w:rPr>
          <w:rFonts w:ascii="Arial" w:hAnsi="Arial" w:cs="Arial"/>
        </w:rPr>
        <w:t>atmosphere</w:t>
      </w:r>
      <w:r w:rsidRPr="00C073D1">
        <w:rPr>
          <w:rFonts w:ascii="Arial" w:hAnsi="Arial" w:cs="Arial"/>
          <w:color w:val="000000"/>
          <w:szCs w:val="22"/>
        </w:rPr>
        <w:t xml:space="preserve"> that does not have a safe oxygen level (a safe oxygen level means an oxygen content in air of between 19.5% – 23.5%), or</w:t>
      </w:r>
    </w:p>
    <w:p w:rsidR="00C073D1" w:rsidRPr="00C073D1" w:rsidRDefault="00C073D1" w:rsidP="00C073D1">
      <w:pPr>
        <w:numPr>
          <w:ilvl w:val="0"/>
          <w:numId w:val="29"/>
        </w:numPr>
        <w:spacing w:after="120"/>
        <w:ind w:left="714" w:hanging="357"/>
        <w:rPr>
          <w:rFonts w:ascii="Arial" w:hAnsi="Arial" w:cs="Arial"/>
          <w:color w:val="000000"/>
          <w:szCs w:val="22"/>
        </w:rPr>
      </w:pPr>
      <w:r w:rsidRPr="00C073D1">
        <w:rPr>
          <w:rFonts w:ascii="Arial" w:hAnsi="Arial" w:cs="Arial"/>
          <w:color w:val="000000"/>
          <w:szCs w:val="22"/>
        </w:rPr>
        <w:t xml:space="preserve">contaminants, including airborne gases, </w:t>
      </w:r>
      <w:proofErr w:type="spellStart"/>
      <w:r w:rsidRPr="00C073D1">
        <w:rPr>
          <w:rFonts w:ascii="Arial" w:hAnsi="Arial" w:cs="Arial"/>
          <w:color w:val="000000"/>
          <w:szCs w:val="22"/>
        </w:rPr>
        <w:t>vapours</w:t>
      </w:r>
      <w:proofErr w:type="spellEnd"/>
      <w:r w:rsidRPr="00C073D1">
        <w:rPr>
          <w:rFonts w:ascii="Arial" w:hAnsi="Arial" w:cs="Arial"/>
          <w:color w:val="000000"/>
          <w:szCs w:val="22"/>
        </w:rPr>
        <w:t xml:space="preserve"> and dusts, that may cause injury from fire or explosion, or</w:t>
      </w:r>
    </w:p>
    <w:p w:rsidR="00C073D1" w:rsidRPr="00C073D1" w:rsidRDefault="00C073D1" w:rsidP="00C073D1">
      <w:pPr>
        <w:numPr>
          <w:ilvl w:val="0"/>
          <w:numId w:val="29"/>
        </w:numPr>
        <w:spacing w:after="120"/>
        <w:ind w:left="714" w:hanging="357"/>
        <w:rPr>
          <w:rFonts w:ascii="Arial" w:hAnsi="Arial" w:cs="Arial"/>
          <w:color w:val="000000"/>
          <w:szCs w:val="22"/>
        </w:rPr>
      </w:pPr>
      <w:r w:rsidRPr="00C073D1">
        <w:rPr>
          <w:rFonts w:ascii="Arial" w:hAnsi="Arial" w:cs="Arial"/>
          <w:color w:val="000000"/>
          <w:szCs w:val="22"/>
        </w:rPr>
        <w:t>harmful concentrations of any airborne contaminants, or</w:t>
      </w:r>
    </w:p>
    <w:p w:rsidR="00C073D1" w:rsidRPr="00C073D1" w:rsidRDefault="00C073D1" w:rsidP="00C073D1">
      <w:pPr>
        <w:numPr>
          <w:ilvl w:val="0"/>
          <w:numId w:val="29"/>
        </w:numPr>
        <w:spacing w:after="120"/>
        <w:ind w:left="714" w:hanging="357"/>
        <w:rPr>
          <w:rFonts w:ascii="Arial" w:hAnsi="Arial" w:cs="Arial"/>
          <w:color w:val="000000"/>
          <w:szCs w:val="22"/>
        </w:rPr>
      </w:pPr>
      <w:r w:rsidRPr="00C073D1">
        <w:rPr>
          <w:rFonts w:ascii="Arial" w:hAnsi="Arial" w:cs="Arial"/>
          <w:color w:val="000000"/>
          <w:szCs w:val="22"/>
        </w:rPr>
        <w:t>engulfment from any substance, for example:</w:t>
      </w:r>
    </w:p>
    <w:p w:rsidR="00C073D1" w:rsidRPr="00C073D1" w:rsidRDefault="00C073D1" w:rsidP="00C073D1">
      <w:pPr>
        <w:numPr>
          <w:ilvl w:val="1"/>
          <w:numId w:val="29"/>
        </w:numPr>
        <w:spacing w:after="120"/>
        <w:rPr>
          <w:rFonts w:ascii="Arial" w:hAnsi="Arial" w:cs="Arial"/>
          <w:color w:val="000000"/>
          <w:szCs w:val="22"/>
        </w:rPr>
      </w:pPr>
      <w:r w:rsidRPr="00C073D1">
        <w:rPr>
          <w:rFonts w:ascii="Arial" w:hAnsi="Arial" w:cs="Arial"/>
          <w:color w:val="000000"/>
          <w:szCs w:val="22"/>
        </w:rPr>
        <w:t>any liquid such as oil or water in which a person can drown</w:t>
      </w:r>
    </w:p>
    <w:p w:rsidR="00C073D1" w:rsidRPr="00C073D1" w:rsidRDefault="00C073D1" w:rsidP="00C073D1">
      <w:pPr>
        <w:numPr>
          <w:ilvl w:val="1"/>
          <w:numId w:val="29"/>
        </w:numPr>
        <w:spacing w:after="120"/>
        <w:rPr>
          <w:rFonts w:ascii="Arial" w:hAnsi="Arial" w:cs="Arial"/>
          <w:color w:val="000000"/>
          <w:szCs w:val="22"/>
        </w:rPr>
      </w:pPr>
      <w:proofErr w:type="gramStart"/>
      <w:r w:rsidRPr="00C073D1">
        <w:rPr>
          <w:rFonts w:ascii="Arial" w:hAnsi="Arial" w:cs="Arial"/>
          <w:color w:val="000000"/>
          <w:szCs w:val="22"/>
        </w:rPr>
        <w:t>any</w:t>
      </w:r>
      <w:proofErr w:type="gramEnd"/>
      <w:r w:rsidRPr="00C073D1">
        <w:rPr>
          <w:rFonts w:ascii="Arial" w:hAnsi="Arial" w:cs="Arial"/>
          <w:color w:val="000000"/>
          <w:szCs w:val="22"/>
        </w:rPr>
        <w:t xml:space="preserve"> solid such as fly ash, grain, sawdust and sand that can flow and form a temporary </w:t>
      </w:r>
      <w:r w:rsidRPr="00C073D1">
        <w:rPr>
          <w:rFonts w:ascii="Arial" w:hAnsi="Arial" w:cs="Arial"/>
        </w:rPr>
        <w:t>cavity</w:t>
      </w:r>
      <w:r w:rsidRPr="00C073D1">
        <w:rPr>
          <w:rFonts w:ascii="Arial" w:hAnsi="Arial" w:cs="Arial"/>
          <w:color w:val="000000"/>
          <w:szCs w:val="22"/>
        </w:rPr>
        <w:t xml:space="preserve"> or bridge, which may collapse and surround a person, cutting off their air supply.</w:t>
      </w:r>
    </w:p>
    <w:p w:rsidR="00C073D1" w:rsidRPr="00C073D1" w:rsidRDefault="00C073D1" w:rsidP="00C073D1">
      <w:pPr>
        <w:spacing w:before="120" w:after="120"/>
        <w:rPr>
          <w:rFonts w:ascii="Arial" w:hAnsi="Arial" w:cs="Arial"/>
          <w:color w:val="000000"/>
          <w:szCs w:val="22"/>
        </w:rPr>
      </w:pPr>
      <w:r w:rsidRPr="00C073D1">
        <w:rPr>
          <w:rFonts w:ascii="Arial" w:hAnsi="Arial" w:cs="Arial"/>
          <w:color w:val="000000"/>
          <w:szCs w:val="22"/>
        </w:rPr>
        <w:t>Airborne contaminants are considered to be harmful if they are present at a concentration above the allowable exposure standard for the contaminant, or if the airborne contaminant is likely to have an adverse health effect.</w:t>
      </w:r>
    </w:p>
    <w:p w:rsidR="00C073D1" w:rsidRPr="00C073D1" w:rsidRDefault="00C073D1" w:rsidP="00C073D1">
      <w:pPr>
        <w:spacing w:after="120"/>
        <w:rPr>
          <w:rFonts w:ascii="Arial" w:hAnsi="Arial" w:cs="Arial"/>
        </w:rPr>
      </w:pPr>
      <w:r w:rsidRPr="00C073D1">
        <w:rPr>
          <w:rFonts w:ascii="Arial" w:hAnsi="Arial" w:cs="Arial"/>
        </w:rPr>
        <w:t xml:space="preserve">A space may become a confined space if work that is to be carried out in the space would generate harmful concentrations of airborne contaminants.  Temporary </w:t>
      </w:r>
      <w:r w:rsidRPr="00C073D1">
        <w:rPr>
          <w:rFonts w:ascii="Arial" w:hAnsi="Arial" w:cs="Arial"/>
          <w:color w:val="000000"/>
          <w:szCs w:val="22"/>
        </w:rPr>
        <w:t>control</w:t>
      </w:r>
      <w:r w:rsidRPr="00C073D1">
        <w:rPr>
          <w:rFonts w:ascii="Arial" w:hAnsi="Arial" w:cs="Arial"/>
        </w:rPr>
        <w:t xml:space="preserve"> measures such as providing temporary ventilation or achieving a satisfactory pre-entry gas test will not cause a confined space to be declassified.</w:t>
      </w:r>
    </w:p>
    <w:p w:rsidR="00C073D1" w:rsidRDefault="00C073D1" w:rsidP="00634B0B">
      <w:pPr>
        <w:pStyle w:val="BodyText"/>
        <w:tabs>
          <w:tab w:val="left" w:pos="3119"/>
          <w:tab w:val="left" w:pos="6237"/>
          <w:tab w:val="left" w:pos="7230"/>
        </w:tabs>
        <w:spacing w:after="0"/>
        <w:jc w:val="left"/>
        <w:rPr>
          <w:rFonts w:cs="Arial"/>
          <w:i/>
          <w:sz w:val="22"/>
          <w:szCs w:val="22"/>
        </w:rPr>
      </w:pPr>
    </w:p>
    <w:p w:rsidR="00C073D1" w:rsidRPr="00634B0B" w:rsidRDefault="00C073D1" w:rsidP="00634B0B">
      <w:pPr>
        <w:pStyle w:val="BodyText"/>
        <w:tabs>
          <w:tab w:val="left" w:pos="3119"/>
          <w:tab w:val="left" w:pos="6237"/>
          <w:tab w:val="left" w:pos="7230"/>
        </w:tabs>
        <w:spacing w:after="0"/>
        <w:jc w:val="left"/>
        <w:rPr>
          <w:rFonts w:cs="Arial"/>
          <w:i/>
          <w:sz w:val="22"/>
          <w:szCs w:val="22"/>
        </w:rPr>
      </w:pPr>
    </w:p>
    <w:sectPr w:rsidR="00C073D1" w:rsidRPr="00634B0B" w:rsidSect="00DC4D29">
      <w:headerReference w:type="default" r:id="rId9"/>
      <w:headerReference w:type="first" r:id="rId10"/>
      <w:pgSz w:w="11907" w:h="16840" w:code="9"/>
      <w:pgMar w:top="340" w:right="567" w:bottom="340"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DB9" w:rsidRDefault="00482DB9">
      <w:r>
        <w:separator/>
      </w:r>
    </w:p>
  </w:endnote>
  <w:endnote w:type="continuationSeparator" w:id="0">
    <w:p w:rsidR="00482DB9" w:rsidRDefault="0048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DB9" w:rsidRDefault="00482DB9">
      <w:r>
        <w:separator/>
      </w:r>
    </w:p>
  </w:footnote>
  <w:footnote w:type="continuationSeparator" w:id="0">
    <w:p w:rsidR="00482DB9" w:rsidRDefault="0048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63" w:rsidRDefault="00A76EEC" w:rsidP="00CA4163">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63872" behindDoc="0" locked="0" layoutInCell="1" allowOverlap="1">
              <wp:simplePos x="0" y="0"/>
              <wp:positionH relativeFrom="column">
                <wp:posOffset>-114300</wp:posOffset>
              </wp:positionH>
              <wp:positionV relativeFrom="paragraph">
                <wp:posOffset>-24130</wp:posOffset>
              </wp:positionV>
              <wp:extent cx="771525" cy="457200"/>
              <wp:effectExtent l="0" t="3810" r="381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163" w:rsidRDefault="00A76EEC" w:rsidP="00CA4163">
                          <w:r w:rsidRPr="000D231D">
                            <w:rPr>
                              <w:noProof/>
                              <w:lang w:val="en-AU" w:eastAsia="en-AU"/>
                            </w:rPr>
                            <w:drawing>
                              <wp:inline distT="0" distB="0" distL="0" distR="0">
                                <wp:extent cx="590550"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8" o:spid="_x0000_s1026" type="#_x0000_t202" style="position:absolute;margin-left:-9pt;margin-top:-1.9pt;width:60.75pt;height:36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" stroked="f">
              <v:textbox>
                <w:txbxContent>
                  <w:p w:rsidR="00CA4163" w:rsidRDefault="00A76EEC" w:rsidP="00CA4163">
                    <w:r w:rsidRPr="000D231D">
                      <w:rPr>
                        <w:noProof/>
                        <w:lang w:val="en-AU" w:eastAsia="en-AU"/>
                      </w:rPr>
                      <w:drawing>
                        <wp:inline distT="0" distB="0" distL="0" distR="0">
                          <wp:extent cx="590550" cy="4286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CA4163" w:rsidRPr="005A6DCE" w:rsidRDefault="00CA4163" w:rsidP="00CA4163">
    <w:pPr>
      <w:tabs>
        <w:tab w:val="left" w:pos="1080"/>
      </w:tabs>
      <w:rPr>
        <w:rFonts w:ascii="Arial" w:hAnsi="Arial" w:cs="Arial"/>
        <w:color w:val="999999"/>
        <w:sz w:val="20"/>
        <w:szCs w:val="22"/>
      </w:rPr>
    </w:pPr>
    <w:r>
      <w:rPr>
        <w:rFonts w:ascii="Arial" w:hAnsi="Arial" w:cs="Arial"/>
        <w:sz w:val="22"/>
        <w:szCs w:val="22"/>
      </w:rPr>
      <w:tab/>
    </w:r>
    <w:r w:rsidRPr="008B2B64">
      <w:rPr>
        <w:rFonts w:ascii="Arial" w:hAnsi="Arial" w:cs="Arial"/>
        <w:b/>
        <w:color w:val="999999"/>
        <w:sz w:val="22"/>
        <w:szCs w:val="22"/>
      </w:rPr>
      <w:t>Catholic Safety, Health &amp; Welfare South Australia</w:t>
    </w:r>
    <w:r w:rsidR="005A6DCE">
      <w:rPr>
        <w:rFonts w:ascii="Arial" w:hAnsi="Arial" w:cs="Arial"/>
        <w:b/>
        <w:color w:val="999999"/>
        <w:sz w:val="22"/>
        <w:szCs w:val="22"/>
      </w:rPr>
      <w:tab/>
    </w:r>
    <w:r w:rsidR="005A6DCE">
      <w:rPr>
        <w:rFonts w:ascii="Arial" w:hAnsi="Arial" w:cs="Arial"/>
        <w:b/>
        <w:color w:val="999999"/>
        <w:sz w:val="22"/>
        <w:szCs w:val="22"/>
      </w:rPr>
      <w:tab/>
    </w:r>
    <w:r w:rsidR="005A6DCE">
      <w:rPr>
        <w:rFonts w:ascii="Arial" w:hAnsi="Arial" w:cs="Arial"/>
        <w:b/>
        <w:color w:val="999999"/>
        <w:sz w:val="22"/>
        <w:szCs w:val="22"/>
      </w:rPr>
      <w:tab/>
    </w:r>
    <w:r w:rsidR="005A6DCE">
      <w:rPr>
        <w:rFonts w:ascii="Arial" w:hAnsi="Arial" w:cs="Arial"/>
        <w:b/>
        <w:color w:val="999999"/>
        <w:sz w:val="22"/>
        <w:szCs w:val="22"/>
      </w:rPr>
      <w:tab/>
    </w:r>
    <w:r w:rsidR="005A6DCE" w:rsidRPr="005A6DCE">
      <w:rPr>
        <w:rStyle w:val="PageNumber"/>
        <w:rFonts w:ascii="Arial" w:hAnsi="Arial" w:cs="Arial"/>
        <w:sz w:val="22"/>
      </w:rPr>
      <w:t xml:space="preserve">Page </w:t>
    </w:r>
    <w:r w:rsidR="005A6DCE">
      <w:rPr>
        <w:rStyle w:val="PageNumber"/>
        <w:rFonts w:ascii="Arial" w:hAnsi="Arial" w:cs="Arial"/>
        <w:sz w:val="22"/>
      </w:rPr>
      <w:t>2</w:t>
    </w:r>
    <w:r w:rsidR="005A6DCE" w:rsidRPr="005A6DCE">
      <w:rPr>
        <w:rStyle w:val="PageNumber"/>
        <w:rFonts w:ascii="Arial" w:hAnsi="Arial" w:cs="Arial"/>
        <w:sz w:val="22"/>
      </w:rPr>
      <w:t xml:space="preserve"> of 2</w:t>
    </w:r>
  </w:p>
  <w:p w:rsidR="001E74ED" w:rsidRPr="007D5B19" w:rsidRDefault="001E74ED" w:rsidP="007D5B19">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ED" w:rsidRDefault="00A76EEC" w:rsidP="00E2443E">
    <w:pPr>
      <w:ind w:right="98"/>
      <w:rPr>
        <w:rFonts w:ascii="Arial" w:hAnsi="Arial" w:cs="Arial"/>
        <w:sz w:val="22"/>
        <w:szCs w:val="22"/>
      </w:rPr>
    </w:pPr>
    <w:r w:rsidRPr="00340A86">
      <w:rPr>
        <w:rFonts w:ascii="Arial" w:hAnsi="Arial" w:cs="Arial"/>
        <w:noProof/>
        <w:sz w:val="22"/>
        <w:szCs w:val="22"/>
        <w:lang w:val="en-AU" w:eastAsia="en-AU"/>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-24130</wp:posOffset>
              </wp:positionV>
              <wp:extent cx="771525" cy="457200"/>
              <wp:effectExtent l="0" t="3810" r="381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74ED" w:rsidRDefault="00A76EEC" w:rsidP="00AD1BDF">
                          <w:r w:rsidRPr="000D231D">
                            <w:rPr>
                              <w:noProof/>
                              <w:lang w:val="en-AU" w:eastAsia="en-AU"/>
                            </w:rPr>
                            <w:drawing>
                              <wp:inline distT="0" distB="0" distL="0" distR="0">
                                <wp:extent cx="5905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7" type="#_x0000_t202" style="position:absolute;margin-left:-9pt;margin-top:-1.9pt;width:60.75pt;height:3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" stroked="f">
              <v:textbox>
                <w:txbxContent>
                  <w:p w:rsidR="001E74ED" w:rsidRDefault="00A76EEC" w:rsidP="00AD1BDF">
                    <w:r w:rsidRPr="000D231D">
                      <w:rPr>
                        <w:noProof/>
                        <w:lang w:val="en-AU" w:eastAsia="en-AU"/>
                      </w:rPr>
                      <w:drawing>
                        <wp:inline distT="0" distB="0" distL="0" distR="0">
                          <wp:extent cx="590550" cy="428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428625"/>
                                  </a:xfrm>
                                  <a:prstGeom prst="rect">
                                    <a:avLst/>
                                  </a:prstGeom>
                                  <a:noFill/>
                                  <a:ln>
                                    <a:noFill/>
                                  </a:ln>
                                </pic:spPr>
                              </pic:pic>
                            </a:graphicData>
                          </a:graphic>
                        </wp:inline>
                      </w:drawing>
                    </w:r>
                  </w:p>
                </w:txbxContent>
              </v:textbox>
            </v:shape>
          </w:pict>
        </mc:Fallback>
      </mc:AlternateContent>
    </w:r>
  </w:p>
  <w:p w:rsidR="001E74ED" w:rsidRPr="008B2B64" w:rsidRDefault="001E74ED" w:rsidP="00AD1BDF">
    <w:pPr>
      <w:tabs>
        <w:tab w:val="left" w:pos="1080"/>
      </w:tabs>
      <w:rPr>
        <w:rFonts w:ascii="Arial" w:hAnsi="Arial" w:cs="Arial"/>
        <w:color w:val="999999"/>
        <w:sz w:val="22"/>
        <w:szCs w:val="22"/>
      </w:rPr>
    </w:pPr>
    <w:r>
      <w:rPr>
        <w:rFonts w:ascii="Arial" w:hAnsi="Arial" w:cs="Arial"/>
        <w:sz w:val="22"/>
        <w:szCs w:val="22"/>
      </w:rPr>
      <w:tab/>
    </w:r>
    <w:r w:rsidRPr="008B2B64">
      <w:rPr>
        <w:rFonts w:ascii="Arial" w:hAnsi="Arial"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ascii="Arial" w:hAnsi="Arial" w:cs="Arial"/>
            <w:b/>
            <w:color w:val="999999"/>
            <w:sz w:val="22"/>
            <w:szCs w:val="22"/>
          </w:rPr>
          <w:t>South Australia</w:t>
        </w:r>
      </w:smartTag>
    </w:smartTag>
  </w:p>
  <w:p w:rsidR="001E74ED" w:rsidRDefault="001E74ED" w:rsidP="00AD1BDF">
    <w:pPr>
      <w:tabs>
        <w:tab w:val="left" w:pos="1440"/>
      </w:tabs>
      <w:ind w:right="98"/>
      <w:rPr>
        <w:rFonts w:ascii="Arial" w:hAnsi="Arial" w:cs="Arial"/>
        <w:sz w:val="22"/>
        <w:szCs w:val="22"/>
      </w:rPr>
    </w:pPr>
  </w:p>
  <w:tbl>
    <w:tblPr>
      <w:tblW w:w="5000" w:type="pct"/>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44"/>
      <w:gridCol w:w="5088"/>
      <w:gridCol w:w="2544"/>
    </w:tblGrid>
    <w:tr w:rsidR="00775D30" w:rsidRPr="00830383" w:rsidTr="00A22B67">
      <w:trPr>
        <w:trHeight w:val="314"/>
      </w:trPr>
      <w:tc>
        <w:tcPr>
          <w:tcW w:w="5000" w:type="pct"/>
          <w:gridSpan w:val="3"/>
          <w:vAlign w:val="center"/>
        </w:tcPr>
        <w:p w:rsidR="00775D30" w:rsidRPr="004975BD" w:rsidRDefault="00775D30" w:rsidP="00775D30">
          <w:pPr>
            <w:ind w:right="98"/>
            <w:jc w:val="center"/>
            <w:rPr>
              <w:rFonts w:ascii="Arial" w:hAnsi="Arial" w:cs="Arial"/>
              <w:b/>
              <w:sz w:val="40"/>
              <w:szCs w:val="40"/>
            </w:rPr>
          </w:pPr>
          <w:r w:rsidRPr="004975BD">
            <w:rPr>
              <w:rFonts w:ascii="Arial" w:hAnsi="Arial" w:cs="Arial"/>
              <w:b/>
              <w:sz w:val="40"/>
              <w:szCs w:val="40"/>
            </w:rPr>
            <w:t>CATHOLIC CHURCH SAFETY MANUAL</w:t>
          </w:r>
        </w:p>
      </w:tc>
    </w:tr>
    <w:tr w:rsidR="00C34B4A" w:rsidRPr="00830383" w:rsidTr="00C34B4A">
      <w:trPr>
        <w:trHeight w:val="314"/>
      </w:trPr>
      <w:tc>
        <w:tcPr>
          <w:tcW w:w="1250" w:type="pct"/>
        </w:tcPr>
        <w:p w:rsidR="00C34B4A" w:rsidRPr="00244BBD" w:rsidRDefault="00C34B4A" w:rsidP="00775D30">
          <w:pPr>
            <w:rPr>
              <w:rFonts w:ascii="Arial" w:hAnsi="Arial" w:cs="Arial"/>
              <w:b/>
            </w:rPr>
          </w:pPr>
          <w:r w:rsidRPr="00244BBD">
            <w:rPr>
              <w:rFonts w:ascii="Arial" w:hAnsi="Arial" w:cs="Arial"/>
              <w:b/>
            </w:rPr>
            <w:t xml:space="preserve">Approved: </w:t>
          </w:r>
          <w:r>
            <w:rPr>
              <w:rFonts w:ascii="Arial" w:hAnsi="Arial" w:cs="Arial"/>
              <w:b/>
            </w:rPr>
            <w:t>Jan 2014</w:t>
          </w:r>
        </w:p>
      </w:tc>
      <w:tc>
        <w:tcPr>
          <w:tcW w:w="2500" w:type="pct"/>
        </w:tcPr>
        <w:p w:rsidR="00C34B4A" w:rsidRPr="00B31562" w:rsidRDefault="00C34B4A" w:rsidP="00C34B4A">
          <w:pPr>
            <w:rPr>
              <w:rFonts w:ascii="Arial" w:hAnsi="Arial" w:cs="Arial"/>
              <w:b/>
            </w:rPr>
          </w:pPr>
          <w:r>
            <w:rPr>
              <w:rFonts w:ascii="Arial" w:hAnsi="Arial" w:cs="Arial"/>
              <w:b/>
            </w:rPr>
            <w:t>Review: 2017</w:t>
          </w:r>
        </w:p>
      </w:tc>
      <w:tc>
        <w:tcPr>
          <w:tcW w:w="1250" w:type="pct"/>
          <w:vAlign w:val="center"/>
        </w:tcPr>
        <w:p w:rsidR="00C34B4A" w:rsidRPr="00244BBD" w:rsidRDefault="00C34B4A" w:rsidP="005A6DCE">
          <w:pPr>
            <w:jc w:val="right"/>
            <w:rPr>
              <w:rFonts w:ascii="Arial" w:hAnsi="Arial" w:cs="Arial"/>
              <w:b/>
            </w:rPr>
          </w:pPr>
          <w:r w:rsidRPr="00244BBD">
            <w:rPr>
              <w:rStyle w:val="PageNumber"/>
              <w:rFonts w:ascii="Arial" w:hAnsi="Arial" w:cs="Arial"/>
              <w:b/>
            </w:rPr>
            <w:t xml:space="preserve">Page </w:t>
          </w:r>
          <w:r>
            <w:rPr>
              <w:rStyle w:val="PageNumber"/>
              <w:rFonts w:ascii="Arial" w:hAnsi="Arial" w:cs="Arial"/>
              <w:b/>
            </w:rPr>
            <w:t>1 of 2</w:t>
          </w:r>
        </w:p>
      </w:tc>
    </w:tr>
  </w:tbl>
  <w:p w:rsidR="001E74ED" w:rsidRDefault="001E74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C17"/>
    <w:multiLevelType w:val="singleLevel"/>
    <w:tmpl w:val="0C090017"/>
    <w:lvl w:ilvl="0">
      <w:start w:val="1"/>
      <w:numFmt w:val="lowerLetter"/>
      <w:lvlText w:val="%1)"/>
      <w:lvlJc w:val="left"/>
      <w:pPr>
        <w:tabs>
          <w:tab w:val="num" w:pos="360"/>
        </w:tabs>
        <w:ind w:left="360" w:hanging="360"/>
      </w:pPr>
    </w:lvl>
  </w:abstractNum>
  <w:abstractNum w:abstractNumId="1" w15:restartNumberingAfterBreak="0">
    <w:nsid w:val="07241C35"/>
    <w:multiLevelType w:val="multilevel"/>
    <w:tmpl w:val="8C8A0F8E"/>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80730A4"/>
    <w:multiLevelType w:val="hybridMultilevel"/>
    <w:tmpl w:val="8C8A0F8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9551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725714"/>
    <w:multiLevelType w:val="hybridMultilevel"/>
    <w:tmpl w:val="A1DE7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E7256"/>
    <w:multiLevelType w:val="multilevel"/>
    <w:tmpl w:val="E974C150"/>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CA3D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608431E"/>
    <w:multiLevelType w:val="hybridMultilevel"/>
    <w:tmpl w:val="3E26B598"/>
    <w:lvl w:ilvl="0" w:tplc="6CB827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895A59"/>
    <w:multiLevelType w:val="hybridMultilevel"/>
    <w:tmpl w:val="BD70E7DE"/>
    <w:lvl w:ilvl="0" w:tplc="6CB827B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EB70CB"/>
    <w:multiLevelType w:val="hybridMultilevel"/>
    <w:tmpl w:val="0622C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862A1"/>
    <w:multiLevelType w:val="hybridMultilevel"/>
    <w:tmpl w:val="808639EC"/>
    <w:lvl w:ilvl="0" w:tplc="B2480384">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46EED"/>
    <w:multiLevelType w:val="multilevel"/>
    <w:tmpl w:val="996ADE7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8518EA"/>
    <w:multiLevelType w:val="hybridMultilevel"/>
    <w:tmpl w:val="DB026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6788E"/>
    <w:multiLevelType w:val="hybridMultilevel"/>
    <w:tmpl w:val="E088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B05A6"/>
    <w:multiLevelType w:val="hybridMultilevel"/>
    <w:tmpl w:val="D3E2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C4737B"/>
    <w:multiLevelType w:val="singleLevel"/>
    <w:tmpl w:val="62BC2E76"/>
    <w:lvl w:ilvl="0">
      <w:start w:val="1"/>
      <w:numFmt w:val="lowerLetter"/>
      <w:lvlText w:val="%1)"/>
      <w:lvlJc w:val="left"/>
      <w:pPr>
        <w:tabs>
          <w:tab w:val="num" w:pos="360"/>
        </w:tabs>
        <w:ind w:left="360" w:hanging="360"/>
      </w:pPr>
      <w:rPr>
        <w:rFonts w:hint="default"/>
      </w:rPr>
    </w:lvl>
  </w:abstractNum>
  <w:abstractNum w:abstractNumId="16" w15:restartNumberingAfterBreak="0">
    <w:nsid w:val="5CE8733C"/>
    <w:multiLevelType w:val="singleLevel"/>
    <w:tmpl w:val="45043FC8"/>
    <w:lvl w:ilvl="0">
      <w:start w:val="1"/>
      <w:numFmt w:val="lowerLetter"/>
      <w:lvlText w:val="(%1)"/>
      <w:lvlJc w:val="left"/>
      <w:pPr>
        <w:tabs>
          <w:tab w:val="num" w:pos="360"/>
        </w:tabs>
        <w:ind w:left="360" w:hanging="360"/>
      </w:pPr>
      <w:rPr>
        <w:rFonts w:hint="default"/>
      </w:rPr>
    </w:lvl>
  </w:abstractNum>
  <w:abstractNum w:abstractNumId="17" w15:restartNumberingAfterBreak="0">
    <w:nsid w:val="63237779"/>
    <w:multiLevelType w:val="hybridMultilevel"/>
    <w:tmpl w:val="7C9CD782"/>
    <w:lvl w:ilvl="0" w:tplc="6CB827B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5C15777"/>
    <w:multiLevelType w:val="hybridMultilevel"/>
    <w:tmpl w:val="90E291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691174ED"/>
    <w:multiLevelType w:val="hybridMultilevel"/>
    <w:tmpl w:val="E060678A"/>
    <w:lvl w:ilvl="0" w:tplc="6CB827B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9F63F0"/>
    <w:multiLevelType w:val="hybridMultilevel"/>
    <w:tmpl w:val="8AA43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AA08EE"/>
    <w:multiLevelType w:val="hybridMultilevel"/>
    <w:tmpl w:val="893E97F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F14342"/>
    <w:multiLevelType w:val="hybridMultilevel"/>
    <w:tmpl w:val="43D484C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5353719"/>
    <w:multiLevelType w:val="multilevel"/>
    <w:tmpl w:val="E060678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4A4EC6"/>
    <w:multiLevelType w:val="hybridMultilevel"/>
    <w:tmpl w:val="7A3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E447E"/>
    <w:multiLevelType w:val="hybridMultilevel"/>
    <w:tmpl w:val="7CA8B5B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220B76"/>
    <w:multiLevelType w:val="hybridMultilevel"/>
    <w:tmpl w:val="ABE2731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CA4FCA"/>
    <w:multiLevelType w:val="hybridMultilevel"/>
    <w:tmpl w:val="9C3C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5"/>
  </w:num>
  <w:num w:numId="3">
    <w:abstractNumId w:val="26"/>
  </w:num>
  <w:num w:numId="4">
    <w:abstractNumId w:val="5"/>
  </w:num>
  <w:num w:numId="5">
    <w:abstractNumId w:val="8"/>
  </w:num>
  <w:num w:numId="6">
    <w:abstractNumId w:val="19"/>
  </w:num>
  <w:num w:numId="7">
    <w:abstractNumId w:val="23"/>
  </w:num>
  <w:num w:numId="8">
    <w:abstractNumId w:val="18"/>
  </w:num>
  <w:num w:numId="9">
    <w:abstractNumId w:val="21"/>
  </w:num>
  <w:num w:numId="10">
    <w:abstractNumId w:val="2"/>
  </w:num>
  <w:num w:numId="11">
    <w:abstractNumId w:val="1"/>
  </w:num>
  <w:num w:numId="12">
    <w:abstractNumId w:val="17"/>
  </w:num>
  <w:num w:numId="13">
    <w:abstractNumId w:val="7"/>
  </w:num>
  <w:num w:numId="14">
    <w:abstractNumId w:val="20"/>
  </w:num>
  <w:num w:numId="15">
    <w:abstractNumId w:val="13"/>
  </w:num>
  <w:num w:numId="16">
    <w:abstractNumId w:val="9"/>
  </w:num>
  <w:num w:numId="17">
    <w:abstractNumId w:val="24"/>
  </w:num>
  <w:num w:numId="18">
    <w:abstractNumId w:val="11"/>
    <w:lvlOverride w:ilvl="1">
      <w:lvl w:ilvl="1">
        <w:numFmt w:val="bullet"/>
        <w:lvlText w:val=""/>
        <w:lvlJc w:val="left"/>
        <w:pPr>
          <w:tabs>
            <w:tab w:val="num" w:pos="1440"/>
          </w:tabs>
          <w:ind w:left="1440" w:hanging="360"/>
        </w:pPr>
        <w:rPr>
          <w:rFonts w:ascii="Symbol" w:hAnsi="Symbol" w:hint="default"/>
          <w:sz w:val="20"/>
        </w:rPr>
      </w:lvl>
    </w:lvlOverride>
  </w:num>
  <w:num w:numId="19">
    <w:abstractNumId w:val="11"/>
    <w:lvlOverride w:ilvl="1">
      <w:lvl w:ilvl="1">
        <w:numFmt w:val="bullet"/>
        <w:lvlText w:val=""/>
        <w:lvlJc w:val="left"/>
        <w:pPr>
          <w:tabs>
            <w:tab w:val="num" w:pos="1440"/>
          </w:tabs>
          <w:ind w:left="1440" w:hanging="360"/>
        </w:pPr>
        <w:rPr>
          <w:rFonts w:ascii="Symbol" w:hAnsi="Symbol" w:hint="default"/>
          <w:sz w:val="20"/>
        </w:rPr>
      </w:lvl>
    </w:lvlOverride>
  </w:num>
  <w:num w:numId="20">
    <w:abstractNumId w:val="27"/>
  </w:num>
  <w:num w:numId="21">
    <w:abstractNumId w:val="12"/>
  </w:num>
  <w:num w:numId="22">
    <w:abstractNumId w:val="4"/>
  </w:num>
  <w:num w:numId="23">
    <w:abstractNumId w:val="14"/>
  </w:num>
  <w:num w:numId="24">
    <w:abstractNumId w:val="0"/>
  </w:num>
  <w:num w:numId="25">
    <w:abstractNumId w:val="3"/>
  </w:num>
  <w:num w:numId="26">
    <w:abstractNumId w:val="16"/>
  </w:num>
  <w:num w:numId="27">
    <w:abstractNumId w:val="6"/>
  </w:num>
  <w:num w:numId="28">
    <w:abstractNumId w:val="1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88"/>
    <w:rsid w:val="00014C72"/>
    <w:rsid w:val="00033EA1"/>
    <w:rsid w:val="0003443D"/>
    <w:rsid w:val="0003487E"/>
    <w:rsid w:val="00047303"/>
    <w:rsid w:val="00051C4C"/>
    <w:rsid w:val="00052320"/>
    <w:rsid w:val="00054D8A"/>
    <w:rsid w:val="00062695"/>
    <w:rsid w:val="00063725"/>
    <w:rsid w:val="000751E4"/>
    <w:rsid w:val="000B4ACE"/>
    <w:rsid w:val="000E5EAA"/>
    <w:rsid w:val="000F4880"/>
    <w:rsid w:val="00100E9B"/>
    <w:rsid w:val="00105974"/>
    <w:rsid w:val="00110227"/>
    <w:rsid w:val="0012768B"/>
    <w:rsid w:val="00130BA2"/>
    <w:rsid w:val="00143943"/>
    <w:rsid w:val="00147D9F"/>
    <w:rsid w:val="00163966"/>
    <w:rsid w:val="001815FA"/>
    <w:rsid w:val="00187832"/>
    <w:rsid w:val="001B1667"/>
    <w:rsid w:val="001B1703"/>
    <w:rsid w:val="001C061D"/>
    <w:rsid w:val="001E0914"/>
    <w:rsid w:val="001E74ED"/>
    <w:rsid w:val="002135D2"/>
    <w:rsid w:val="0022635E"/>
    <w:rsid w:val="00233A60"/>
    <w:rsid w:val="00246B97"/>
    <w:rsid w:val="002600D3"/>
    <w:rsid w:val="0026305C"/>
    <w:rsid w:val="00274344"/>
    <w:rsid w:val="002779B5"/>
    <w:rsid w:val="00286CF5"/>
    <w:rsid w:val="00297350"/>
    <w:rsid w:val="002C4956"/>
    <w:rsid w:val="002C4ACA"/>
    <w:rsid w:val="002C6835"/>
    <w:rsid w:val="002E07AC"/>
    <w:rsid w:val="002E09C5"/>
    <w:rsid w:val="002E4F86"/>
    <w:rsid w:val="002E6909"/>
    <w:rsid w:val="00301631"/>
    <w:rsid w:val="0032013D"/>
    <w:rsid w:val="00331051"/>
    <w:rsid w:val="00333560"/>
    <w:rsid w:val="00337814"/>
    <w:rsid w:val="00340699"/>
    <w:rsid w:val="00340A86"/>
    <w:rsid w:val="00342EA2"/>
    <w:rsid w:val="0034571A"/>
    <w:rsid w:val="00360B20"/>
    <w:rsid w:val="00376B1D"/>
    <w:rsid w:val="00385135"/>
    <w:rsid w:val="003870BD"/>
    <w:rsid w:val="0039475D"/>
    <w:rsid w:val="003B58D0"/>
    <w:rsid w:val="003C036A"/>
    <w:rsid w:val="003D5704"/>
    <w:rsid w:val="003D7C5F"/>
    <w:rsid w:val="004318E0"/>
    <w:rsid w:val="00441A98"/>
    <w:rsid w:val="00447579"/>
    <w:rsid w:val="00454E3C"/>
    <w:rsid w:val="00455C26"/>
    <w:rsid w:val="004628A0"/>
    <w:rsid w:val="00462E81"/>
    <w:rsid w:val="0047317D"/>
    <w:rsid w:val="004759A6"/>
    <w:rsid w:val="00482DB9"/>
    <w:rsid w:val="00486ECD"/>
    <w:rsid w:val="00487484"/>
    <w:rsid w:val="004A3435"/>
    <w:rsid w:val="004A648D"/>
    <w:rsid w:val="004B24B6"/>
    <w:rsid w:val="004B40C9"/>
    <w:rsid w:val="004C0301"/>
    <w:rsid w:val="004C5F94"/>
    <w:rsid w:val="004C665C"/>
    <w:rsid w:val="004C7F0F"/>
    <w:rsid w:val="004D7EAA"/>
    <w:rsid w:val="00533CEE"/>
    <w:rsid w:val="00540A47"/>
    <w:rsid w:val="00575CAA"/>
    <w:rsid w:val="005A6DCE"/>
    <w:rsid w:val="005B5478"/>
    <w:rsid w:val="005E2003"/>
    <w:rsid w:val="005E22F3"/>
    <w:rsid w:val="005E7B8A"/>
    <w:rsid w:val="006138EB"/>
    <w:rsid w:val="00622875"/>
    <w:rsid w:val="006268DF"/>
    <w:rsid w:val="00634B0B"/>
    <w:rsid w:val="00643DB3"/>
    <w:rsid w:val="0064692F"/>
    <w:rsid w:val="006870CA"/>
    <w:rsid w:val="00692BB9"/>
    <w:rsid w:val="006A0399"/>
    <w:rsid w:val="006A65E7"/>
    <w:rsid w:val="006B1833"/>
    <w:rsid w:val="006E36FF"/>
    <w:rsid w:val="006F29DC"/>
    <w:rsid w:val="00701D76"/>
    <w:rsid w:val="007140A7"/>
    <w:rsid w:val="007337DB"/>
    <w:rsid w:val="00735C0A"/>
    <w:rsid w:val="00737088"/>
    <w:rsid w:val="00741665"/>
    <w:rsid w:val="00744244"/>
    <w:rsid w:val="00747E61"/>
    <w:rsid w:val="007521C2"/>
    <w:rsid w:val="00762398"/>
    <w:rsid w:val="00773F6A"/>
    <w:rsid w:val="00775D30"/>
    <w:rsid w:val="007812DD"/>
    <w:rsid w:val="00786C40"/>
    <w:rsid w:val="00796BEA"/>
    <w:rsid w:val="00797856"/>
    <w:rsid w:val="007A4255"/>
    <w:rsid w:val="007D5B19"/>
    <w:rsid w:val="007E2C34"/>
    <w:rsid w:val="007F4C7B"/>
    <w:rsid w:val="007F6AB3"/>
    <w:rsid w:val="00810B12"/>
    <w:rsid w:val="0081424C"/>
    <w:rsid w:val="00816431"/>
    <w:rsid w:val="00824C4F"/>
    <w:rsid w:val="00830383"/>
    <w:rsid w:val="0083042F"/>
    <w:rsid w:val="00866696"/>
    <w:rsid w:val="00873A73"/>
    <w:rsid w:val="0087778E"/>
    <w:rsid w:val="00882A26"/>
    <w:rsid w:val="00892B92"/>
    <w:rsid w:val="00893E95"/>
    <w:rsid w:val="008A7E84"/>
    <w:rsid w:val="008B2B64"/>
    <w:rsid w:val="008C300A"/>
    <w:rsid w:val="008D643D"/>
    <w:rsid w:val="008D7E27"/>
    <w:rsid w:val="008E21CD"/>
    <w:rsid w:val="008F710B"/>
    <w:rsid w:val="009049AA"/>
    <w:rsid w:val="0096257F"/>
    <w:rsid w:val="00965892"/>
    <w:rsid w:val="0098100E"/>
    <w:rsid w:val="009A200D"/>
    <w:rsid w:val="009A4F07"/>
    <w:rsid w:val="009B0BA7"/>
    <w:rsid w:val="009B6FD8"/>
    <w:rsid w:val="009B7CE1"/>
    <w:rsid w:val="009C2B7E"/>
    <w:rsid w:val="009F3AE4"/>
    <w:rsid w:val="009F7B3C"/>
    <w:rsid w:val="00A0137F"/>
    <w:rsid w:val="00A0738F"/>
    <w:rsid w:val="00A22B67"/>
    <w:rsid w:val="00A26767"/>
    <w:rsid w:val="00A312D1"/>
    <w:rsid w:val="00A31E71"/>
    <w:rsid w:val="00A4676A"/>
    <w:rsid w:val="00A46EB0"/>
    <w:rsid w:val="00A6572F"/>
    <w:rsid w:val="00A7409C"/>
    <w:rsid w:val="00A76EEC"/>
    <w:rsid w:val="00A93DA7"/>
    <w:rsid w:val="00A95280"/>
    <w:rsid w:val="00AB79C6"/>
    <w:rsid w:val="00AD1BDF"/>
    <w:rsid w:val="00AD4688"/>
    <w:rsid w:val="00AE12EB"/>
    <w:rsid w:val="00AE5837"/>
    <w:rsid w:val="00AE6E88"/>
    <w:rsid w:val="00AF2911"/>
    <w:rsid w:val="00AF43E5"/>
    <w:rsid w:val="00B67BDF"/>
    <w:rsid w:val="00B67E39"/>
    <w:rsid w:val="00B7750F"/>
    <w:rsid w:val="00B85D64"/>
    <w:rsid w:val="00B865C8"/>
    <w:rsid w:val="00BA0FC0"/>
    <w:rsid w:val="00BE19DB"/>
    <w:rsid w:val="00BE7F12"/>
    <w:rsid w:val="00BF2A0A"/>
    <w:rsid w:val="00C073D1"/>
    <w:rsid w:val="00C11D71"/>
    <w:rsid w:val="00C34B4A"/>
    <w:rsid w:val="00C35A0C"/>
    <w:rsid w:val="00C42EBE"/>
    <w:rsid w:val="00C718D6"/>
    <w:rsid w:val="00C73E57"/>
    <w:rsid w:val="00C9304D"/>
    <w:rsid w:val="00CA4163"/>
    <w:rsid w:val="00CC714D"/>
    <w:rsid w:val="00CD4315"/>
    <w:rsid w:val="00CE4BD4"/>
    <w:rsid w:val="00CF7CF9"/>
    <w:rsid w:val="00D02BE6"/>
    <w:rsid w:val="00D1709E"/>
    <w:rsid w:val="00D466DF"/>
    <w:rsid w:val="00D54D84"/>
    <w:rsid w:val="00D65334"/>
    <w:rsid w:val="00D91282"/>
    <w:rsid w:val="00DC365E"/>
    <w:rsid w:val="00DC4D29"/>
    <w:rsid w:val="00DD693E"/>
    <w:rsid w:val="00DE4321"/>
    <w:rsid w:val="00E1160D"/>
    <w:rsid w:val="00E16AE8"/>
    <w:rsid w:val="00E2443E"/>
    <w:rsid w:val="00E25199"/>
    <w:rsid w:val="00E437B4"/>
    <w:rsid w:val="00E55D0A"/>
    <w:rsid w:val="00E56AB6"/>
    <w:rsid w:val="00E61E93"/>
    <w:rsid w:val="00E70BC6"/>
    <w:rsid w:val="00E94DAF"/>
    <w:rsid w:val="00ED05F2"/>
    <w:rsid w:val="00ED30A2"/>
    <w:rsid w:val="00EE0945"/>
    <w:rsid w:val="00EE2DE7"/>
    <w:rsid w:val="00EE6CF2"/>
    <w:rsid w:val="00EF6530"/>
    <w:rsid w:val="00F000DB"/>
    <w:rsid w:val="00F06A02"/>
    <w:rsid w:val="00F14201"/>
    <w:rsid w:val="00F43ABF"/>
    <w:rsid w:val="00F440BD"/>
    <w:rsid w:val="00F5385D"/>
    <w:rsid w:val="00F54165"/>
    <w:rsid w:val="00F64BE7"/>
    <w:rsid w:val="00F704CB"/>
    <w:rsid w:val="00F7768F"/>
    <w:rsid w:val="00FB5189"/>
    <w:rsid w:val="00FC10C9"/>
    <w:rsid w:val="00FC6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C78C31D4-3365-44D6-888B-505FE3C9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2">
    <w:name w:val="heading 2"/>
    <w:basedOn w:val="Normal"/>
    <w:next w:val="Normal"/>
    <w:link w:val="Heading2Char"/>
    <w:qFormat/>
    <w:rsid w:val="00634B0B"/>
    <w:pPr>
      <w:keepNext/>
      <w:outlineLvl w:val="1"/>
    </w:pPr>
    <w:rPr>
      <w:rFonts w:ascii="Arial" w:hAnsi="Arial"/>
      <w:szCs w:val="20"/>
      <w:lang w:val="en-AU"/>
    </w:rPr>
  </w:style>
  <w:style w:type="paragraph" w:styleId="Heading9">
    <w:name w:val="heading 9"/>
    <w:basedOn w:val="Normal"/>
    <w:next w:val="Normal"/>
    <w:link w:val="Heading9Char"/>
    <w:qFormat/>
    <w:rsid w:val="00634B0B"/>
    <w:pPr>
      <w:keepNext/>
      <w:ind w:right="-476"/>
      <w:outlineLvl w:val="8"/>
    </w:pPr>
    <w:rPr>
      <w:rFonts w:ascii="Palatino (PCL6)" w:hAnsi="Palatino (PCL6)"/>
      <w:b/>
      <w:sz w:val="1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toc,9"/>
    <w:basedOn w:val="Normal"/>
    <w:rsid w:val="00A6572F"/>
    <w:pPr>
      <w:tabs>
        <w:tab w:val="center" w:pos="4153"/>
        <w:tab w:val="right" w:pos="8306"/>
      </w:tabs>
    </w:pPr>
  </w:style>
  <w:style w:type="paragraph" w:styleId="Footer">
    <w:name w:val="footer"/>
    <w:basedOn w:val="Normal"/>
    <w:link w:val="FooterChar"/>
    <w:rsid w:val="00A6572F"/>
    <w:pPr>
      <w:tabs>
        <w:tab w:val="center" w:pos="4153"/>
        <w:tab w:val="right" w:pos="8306"/>
      </w:tabs>
    </w:pPr>
  </w:style>
  <w:style w:type="character" w:styleId="PageNumber">
    <w:name w:val="page number"/>
    <w:basedOn w:val="DefaultParagraphFont"/>
    <w:rsid w:val="00C718D6"/>
  </w:style>
  <w:style w:type="paragraph" w:styleId="BodyText">
    <w:name w:val="Body Text"/>
    <w:basedOn w:val="Normal"/>
    <w:link w:val="BodyTextChar"/>
    <w:rsid w:val="00455C26"/>
    <w:pPr>
      <w:spacing w:after="240"/>
      <w:jc w:val="center"/>
    </w:pPr>
    <w:rPr>
      <w:rFonts w:ascii="Arial" w:hAnsi="Arial"/>
      <w:b/>
      <w:sz w:val="52"/>
      <w:szCs w:val="20"/>
      <w:lang w:val="en-AU"/>
    </w:rPr>
  </w:style>
  <w:style w:type="paragraph" w:customStyle="1" w:styleId="Default">
    <w:name w:val="Default"/>
    <w:rsid w:val="00301631"/>
    <w:pPr>
      <w:autoSpaceDE w:val="0"/>
      <w:autoSpaceDN w:val="0"/>
      <w:adjustRightInd w:val="0"/>
    </w:pPr>
    <w:rPr>
      <w:rFonts w:ascii="Arial" w:hAnsi="Arial" w:cs="Arial"/>
      <w:color w:val="000000"/>
      <w:sz w:val="24"/>
      <w:szCs w:val="24"/>
      <w:lang w:val="en-US" w:eastAsia="en-US"/>
    </w:rPr>
  </w:style>
  <w:style w:type="paragraph" w:styleId="BalloonText">
    <w:name w:val="Balloon Text"/>
    <w:basedOn w:val="Normal"/>
    <w:semiHidden/>
    <w:rsid w:val="007337DB"/>
    <w:rPr>
      <w:rFonts w:ascii="Tahoma" w:hAnsi="Tahoma" w:cs="Tahoma"/>
      <w:sz w:val="16"/>
      <w:szCs w:val="16"/>
    </w:rPr>
  </w:style>
  <w:style w:type="character" w:styleId="CommentReference">
    <w:name w:val="annotation reference"/>
    <w:rsid w:val="00F43ABF"/>
    <w:rPr>
      <w:sz w:val="16"/>
      <w:szCs w:val="16"/>
    </w:rPr>
  </w:style>
  <w:style w:type="paragraph" w:styleId="CommentText">
    <w:name w:val="annotation text"/>
    <w:basedOn w:val="Normal"/>
    <w:link w:val="CommentTextChar"/>
    <w:rsid w:val="00F43ABF"/>
    <w:rPr>
      <w:sz w:val="20"/>
      <w:szCs w:val="20"/>
    </w:rPr>
  </w:style>
  <w:style w:type="character" w:customStyle="1" w:styleId="CommentTextChar">
    <w:name w:val="Comment Text Char"/>
    <w:basedOn w:val="DefaultParagraphFont"/>
    <w:link w:val="CommentText"/>
    <w:rsid w:val="00F43ABF"/>
  </w:style>
  <w:style w:type="paragraph" w:styleId="CommentSubject">
    <w:name w:val="annotation subject"/>
    <w:basedOn w:val="CommentText"/>
    <w:next w:val="CommentText"/>
    <w:link w:val="CommentSubjectChar"/>
    <w:rsid w:val="00F43ABF"/>
    <w:rPr>
      <w:b/>
      <w:bCs/>
    </w:rPr>
  </w:style>
  <w:style w:type="character" w:customStyle="1" w:styleId="CommentSubjectChar">
    <w:name w:val="Comment Subject Char"/>
    <w:link w:val="CommentSubject"/>
    <w:rsid w:val="00F43ABF"/>
    <w:rPr>
      <w:b/>
      <w:bCs/>
    </w:rPr>
  </w:style>
  <w:style w:type="character" w:customStyle="1" w:styleId="FooterChar">
    <w:name w:val="Footer Char"/>
    <w:link w:val="Footer"/>
    <w:uiPriority w:val="99"/>
    <w:rsid w:val="002600D3"/>
    <w:rPr>
      <w:sz w:val="24"/>
      <w:szCs w:val="24"/>
    </w:rPr>
  </w:style>
  <w:style w:type="paragraph" w:styleId="NormalWeb">
    <w:name w:val="Normal (Web)"/>
    <w:basedOn w:val="Normal"/>
    <w:uiPriority w:val="99"/>
    <w:unhideWhenUsed/>
    <w:rsid w:val="00BA0FC0"/>
    <w:pPr>
      <w:spacing w:after="100" w:afterAutospacing="1" w:line="312" w:lineRule="auto"/>
    </w:pPr>
    <w:rPr>
      <w:rFonts w:ascii="Arial" w:hAnsi="Arial" w:cs="Arial"/>
      <w:color w:val="000000"/>
      <w:sz w:val="23"/>
      <w:szCs w:val="23"/>
    </w:rPr>
  </w:style>
  <w:style w:type="character" w:customStyle="1" w:styleId="BodyTextChar">
    <w:name w:val="Body Text Char"/>
    <w:link w:val="BodyText"/>
    <w:rsid w:val="00A312D1"/>
    <w:rPr>
      <w:rFonts w:ascii="Arial" w:hAnsi="Arial"/>
      <w:b/>
      <w:sz w:val="52"/>
      <w:lang w:val="en-AU"/>
    </w:rPr>
  </w:style>
  <w:style w:type="paragraph" w:styleId="BodyText2">
    <w:name w:val="Body Text 2"/>
    <w:basedOn w:val="Normal"/>
    <w:link w:val="BodyText2Char"/>
    <w:rsid w:val="001B1703"/>
    <w:pPr>
      <w:spacing w:after="120" w:line="480" w:lineRule="auto"/>
    </w:pPr>
  </w:style>
  <w:style w:type="character" w:customStyle="1" w:styleId="BodyText2Char">
    <w:name w:val="Body Text 2 Char"/>
    <w:link w:val="BodyText2"/>
    <w:rsid w:val="001B1703"/>
    <w:rPr>
      <w:sz w:val="24"/>
      <w:szCs w:val="24"/>
    </w:rPr>
  </w:style>
  <w:style w:type="character" w:customStyle="1" w:styleId="Heading2Char">
    <w:name w:val="Heading 2 Char"/>
    <w:link w:val="Heading2"/>
    <w:rsid w:val="00634B0B"/>
    <w:rPr>
      <w:rFonts w:ascii="Arial" w:hAnsi="Arial"/>
      <w:sz w:val="24"/>
      <w:lang w:val="en-AU"/>
    </w:rPr>
  </w:style>
  <w:style w:type="character" w:customStyle="1" w:styleId="Heading9Char">
    <w:name w:val="Heading 9 Char"/>
    <w:link w:val="Heading9"/>
    <w:rsid w:val="00634B0B"/>
    <w:rPr>
      <w:rFonts w:ascii="Palatino (PCL6)" w:hAnsi="Palatino (PCL6)"/>
      <w:b/>
      <w:sz w:val="16"/>
      <w:lang w:val="en-GB"/>
    </w:rPr>
  </w:style>
  <w:style w:type="paragraph" w:styleId="BlockText">
    <w:name w:val="Block Text"/>
    <w:basedOn w:val="Normal"/>
    <w:rsid w:val="00634B0B"/>
    <w:pPr>
      <w:ind w:left="720" w:right="-476"/>
    </w:pPr>
    <w:rPr>
      <w:rFonts w:ascii="Palatino (PCL6)" w:hAnsi="Palatino (PCL6)"/>
      <w:sz w:val="20"/>
      <w:szCs w:val="20"/>
      <w:lang w:val="en-GB"/>
    </w:rPr>
  </w:style>
  <w:style w:type="paragraph" w:styleId="BodyTextIndent2">
    <w:name w:val="Body Text Indent 2"/>
    <w:basedOn w:val="Normal"/>
    <w:link w:val="BodyTextIndent2Char"/>
    <w:rsid w:val="00634B0B"/>
    <w:pPr>
      <w:spacing w:after="120" w:line="480" w:lineRule="auto"/>
      <w:ind w:left="283"/>
    </w:pPr>
  </w:style>
  <w:style w:type="character" w:customStyle="1" w:styleId="BodyTextIndent2Char">
    <w:name w:val="Body Text Indent 2 Char"/>
    <w:link w:val="BodyTextIndent2"/>
    <w:rsid w:val="00634B0B"/>
    <w:rPr>
      <w:sz w:val="24"/>
      <w:szCs w:val="24"/>
    </w:rPr>
  </w:style>
  <w:style w:type="character" w:customStyle="1" w:styleId="a">
    <w:name w:val="À&quot;À"/>
    <w:basedOn w:val="DefaultParagraphFont"/>
    <w:rsid w:val="00634B0B"/>
  </w:style>
  <w:style w:type="paragraph" w:customStyle="1" w:styleId="Legal2">
    <w:name w:val="Legal 2"/>
    <w:rsid w:val="00634B0B"/>
    <w:pPr>
      <w:tabs>
        <w:tab w:val="left" w:pos="-720"/>
      </w:tabs>
      <w:suppressAutoHyphens/>
    </w:pPr>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2AB3-BC9B-4134-B07E-5F11B2E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2548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STATEMENT:</vt:lpstr>
    </vt:vector>
  </TitlesOfParts>
  <Company>consulting assessment &amp; training services</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dc:title>
  <dc:subject/>
  <dc:creator>Fran Dedai</dc:creator>
  <cp:keywords/>
  <dc:description/>
  <cp:lastModifiedBy>Chris Donnelly</cp:lastModifiedBy>
  <cp:revision>5</cp:revision>
  <cp:lastPrinted>2011-06-13T22:22:00Z</cp:lastPrinted>
  <dcterms:created xsi:type="dcterms:W3CDTF">2014-01-31T03:34:00Z</dcterms:created>
  <dcterms:modified xsi:type="dcterms:W3CDTF">2017-01-05T23:35:00Z</dcterms:modified>
</cp:coreProperties>
</file>