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pPr w:leftFromText="180" w:rightFromText="180" w:vertAnchor="page" w:horzAnchor="margin" w:tblpY="541"/>
        <w:tblW w:w="15588" w:type="dxa"/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15588"/>
      </w:tblGrid>
      <w:tr w:rsidR="00097137" w:rsidRPr="00E90284" w:rsidTr="00344C23">
        <w:trPr>
          <w:trHeight w:val="401"/>
        </w:trPr>
        <w:tc>
          <w:tcPr>
            <w:tcW w:w="15588" w:type="dxa"/>
            <w:shd w:val="clear" w:color="auto" w:fill="8EAADB" w:themeFill="accent5" w:themeFillTint="99"/>
          </w:tcPr>
          <w:p w:rsidR="00097137" w:rsidRPr="00E90284" w:rsidRDefault="00097137" w:rsidP="00344C23">
            <w:pPr>
              <w:jc w:val="center"/>
              <w:rPr>
                <w:sz w:val="40"/>
                <w:szCs w:val="40"/>
              </w:rPr>
            </w:pPr>
            <w:r>
              <w:rPr>
                <w:rFonts w:asciiTheme="minorHAnsi" w:hAnsiTheme="minorHAnsi" w:cstheme="minorBidi"/>
                <w:b/>
                <w:sz w:val="40"/>
                <w:szCs w:val="40"/>
              </w:rPr>
              <w:t>HAZARD SHEET 4</w:t>
            </w:r>
            <w:r w:rsidRPr="00E90284">
              <w:rPr>
                <w:rFonts w:asciiTheme="minorHAnsi" w:hAnsiTheme="minorHAnsi" w:cstheme="minorBidi"/>
                <w:b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Bidi"/>
                <w:b/>
                <w:sz w:val="40"/>
                <w:szCs w:val="40"/>
              </w:rPr>
              <w:t xml:space="preserve">– </w:t>
            </w:r>
            <w:r w:rsidR="00100D0E">
              <w:rPr>
                <w:rFonts w:asciiTheme="minorHAnsi" w:hAnsiTheme="minorHAnsi" w:cstheme="minorBidi"/>
                <w:b/>
                <w:sz w:val="40"/>
                <w:szCs w:val="40"/>
              </w:rPr>
              <w:t>Monitor</w:t>
            </w:r>
            <w:r>
              <w:rPr>
                <w:rFonts w:asciiTheme="minorHAnsi" w:hAnsiTheme="minorHAnsi" w:cstheme="minorBidi"/>
                <w:b/>
                <w:sz w:val="40"/>
                <w:szCs w:val="40"/>
              </w:rPr>
              <w:t xml:space="preserve"> and Review</w:t>
            </w:r>
            <w:r w:rsidRPr="00E90284">
              <w:rPr>
                <w:sz w:val="40"/>
                <w:szCs w:val="40"/>
              </w:rPr>
              <w:t xml:space="preserve"> </w:t>
            </w:r>
            <w:r w:rsidR="00D43336" w:rsidRPr="00D43336">
              <w:rPr>
                <w:rFonts w:asciiTheme="minorHAnsi" w:hAnsiTheme="minorHAnsi" w:cstheme="minorBidi"/>
                <w:b/>
                <w:sz w:val="40"/>
                <w:szCs w:val="40"/>
              </w:rPr>
              <w:t>Controls</w:t>
            </w:r>
          </w:p>
          <w:p w:rsidR="00097137" w:rsidRPr="00E90284" w:rsidRDefault="00097137" w:rsidP="00344C2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97137" w:rsidRPr="00FA4110" w:rsidRDefault="00097137" w:rsidP="00097137">
      <w:pPr>
        <w:jc w:val="both"/>
        <w:rPr>
          <w:color w:val="00B0F0"/>
          <w:lang w:val="en-US"/>
        </w:rPr>
      </w:pPr>
    </w:p>
    <w:p w:rsidR="00097137" w:rsidRDefault="00C34593" w:rsidP="00097137">
      <w:pPr>
        <w:jc w:val="both"/>
        <w:rPr>
          <w:lang w:val="en-US"/>
        </w:rPr>
      </w:pPr>
      <w:r>
        <w:rPr>
          <w:lang w:val="en-US"/>
        </w:rPr>
        <w:t>In most cases a control should be implemented as soon as possible regardless of the risk factor</w:t>
      </w:r>
      <w:r w:rsidR="0058497E">
        <w:rPr>
          <w:lang w:val="en-US"/>
        </w:rPr>
        <w:t>;</w:t>
      </w:r>
      <w:r>
        <w:rPr>
          <w:lang w:val="en-US"/>
        </w:rPr>
        <w:t xml:space="preserve"> however</w:t>
      </w:r>
      <w:r w:rsidR="0058497E">
        <w:rPr>
          <w:lang w:val="en-US"/>
        </w:rPr>
        <w:t>,</w:t>
      </w:r>
      <w:r>
        <w:rPr>
          <w:lang w:val="en-US"/>
        </w:rPr>
        <w:t xml:space="preserve"> the review of the control</w:t>
      </w:r>
      <w:r w:rsidR="003A565F">
        <w:rPr>
          <w:lang w:val="en-US"/>
        </w:rPr>
        <w:t>,</w:t>
      </w:r>
      <w:r>
        <w:rPr>
          <w:lang w:val="en-US"/>
        </w:rPr>
        <w:t xml:space="preserve"> to see if it </w:t>
      </w:r>
      <w:r w:rsidR="003A565F">
        <w:rPr>
          <w:lang w:val="en-US"/>
        </w:rPr>
        <w:t xml:space="preserve">is </w:t>
      </w:r>
      <w:r>
        <w:rPr>
          <w:lang w:val="en-US"/>
        </w:rPr>
        <w:t>effective</w:t>
      </w:r>
      <w:r w:rsidR="003A565F">
        <w:rPr>
          <w:lang w:val="en-US"/>
        </w:rPr>
        <w:t>,</w:t>
      </w:r>
      <w:r>
        <w:rPr>
          <w:lang w:val="en-US"/>
        </w:rPr>
        <w:t xml:space="preserve"> will depend on the risk factor.</w:t>
      </w:r>
    </w:p>
    <w:p w:rsidR="0010765A" w:rsidRDefault="0010765A" w:rsidP="00097137">
      <w:pPr>
        <w:jc w:val="both"/>
        <w:rPr>
          <w:lang w:val="en-US"/>
        </w:rPr>
      </w:pPr>
    </w:p>
    <w:p w:rsidR="0010765A" w:rsidRDefault="0010765A" w:rsidP="00097137">
      <w:pPr>
        <w:jc w:val="both"/>
        <w:rPr>
          <w:lang w:val="en-US"/>
        </w:rPr>
      </w:pPr>
      <w:r w:rsidRPr="0010765A">
        <w:rPr>
          <w:lang w:val="en-US"/>
        </w:rPr>
        <w:t>Monitoring of any control should be ongoing.</w:t>
      </w:r>
    </w:p>
    <w:p w:rsidR="00097137" w:rsidRDefault="00097137" w:rsidP="00097137">
      <w:pPr>
        <w:jc w:val="both"/>
        <w:rPr>
          <w:lang w:val="en-US"/>
        </w:rPr>
      </w:pPr>
    </w:p>
    <w:p w:rsidR="00C34593" w:rsidRDefault="00C34593" w:rsidP="00097137">
      <w:pPr>
        <w:jc w:val="both"/>
        <w:rPr>
          <w:lang w:val="en-US"/>
        </w:rPr>
      </w:pPr>
      <w:r>
        <w:rPr>
          <w:lang w:val="en-US"/>
        </w:rPr>
        <w:t>Use the risk matrix below AS A GUIDE to determine the length of time a control should be reviewed after implementation.</w:t>
      </w:r>
    </w:p>
    <w:p w:rsidR="0046005B" w:rsidRDefault="0046005B" w:rsidP="00097137">
      <w:pPr>
        <w:jc w:val="both"/>
        <w:rPr>
          <w:lang w:val="en-US"/>
        </w:rPr>
      </w:pPr>
    </w:p>
    <w:p w:rsidR="00C34593" w:rsidRPr="007B5FAC" w:rsidRDefault="00C34593" w:rsidP="00097137">
      <w:pPr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36"/>
        <w:tblW w:w="5111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09"/>
        <w:gridCol w:w="2889"/>
        <w:gridCol w:w="2209"/>
        <w:gridCol w:w="2115"/>
        <w:gridCol w:w="2300"/>
        <w:gridCol w:w="2024"/>
        <w:gridCol w:w="3172"/>
      </w:tblGrid>
      <w:tr w:rsidR="005556B9" w:rsidRPr="005556B9" w:rsidTr="00C34593">
        <w:trPr>
          <w:trHeight w:val="269"/>
        </w:trPr>
        <w:tc>
          <w:tcPr>
            <w:tcW w:w="1244" w:type="pct"/>
            <w:gridSpan w:val="3"/>
            <w:vMerge w:val="restart"/>
            <w:tcBorders>
              <w:top w:val="nil"/>
              <w:left w:val="nil"/>
              <w:right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6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Consequence</w:t>
            </w:r>
          </w:p>
        </w:tc>
      </w:tr>
      <w:tr w:rsidR="00C34593" w:rsidRPr="005556B9" w:rsidTr="00C34593">
        <w:trPr>
          <w:trHeight w:val="347"/>
        </w:trPr>
        <w:tc>
          <w:tcPr>
            <w:tcW w:w="1244" w:type="pct"/>
            <w:gridSpan w:val="3"/>
            <w:vMerge/>
            <w:tcBorders>
              <w:left w:val="nil"/>
              <w:right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67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7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10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Catastrophic</w:t>
            </w:r>
          </w:p>
        </w:tc>
      </w:tr>
      <w:tr w:rsidR="00C34593" w:rsidRPr="005556B9" w:rsidTr="00C34593">
        <w:trPr>
          <w:trHeight w:val="347"/>
        </w:trPr>
        <w:tc>
          <w:tcPr>
            <w:tcW w:w="1244" w:type="pct"/>
            <w:gridSpan w:val="3"/>
            <w:vMerge/>
            <w:tcBorders>
              <w:left w:val="nil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No treatment/in-house first aid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No damage or environmental or operational impact</w:t>
            </w:r>
          </w:p>
        </w:tc>
        <w:tc>
          <w:tcPr>
            <w:tcW w:w="67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Minor Medical Treatment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Minor damage, with potential for minor downtime</w:t>
            </w:r>
          </w:p>
        </w:tc>
        <w:tc>
          <w:tcPr>
            <w:tcW w:w="7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Significant non-permanent injury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Minor damage to infrastructure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Minor downtime of operations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Severe injury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Significant damage to infrastructure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Downtime of operations</w:t>
            </w:r>
          </w:p>
        </w:tc>
        <w:tc>
          <w:tcPr>
            <w:tcW w:w="10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Death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Permanent disabling injury</w:t>
            </w:r>
          </w:p>
          <w:p w:rsidR="005556B9" w:rsidRPr="005556B9" w:rsidRDefault="005556B9" w:rsidP="005556B9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Loss of critical infrastructure or stoppage of operations</w:t>
            </w:r>
          </w:p>
        </w:tc>
      </w:tr>
      <w:tr w:rsidR="005556B9" w:rsidRPr="005556B9" w:rsidTr="00C34593">
        <w:trPr>
          <w:trHeight w:val="347"/>
        </w:trPr>
        <w:tc>
          <w:tcPr>
            <w:tcW w:w="196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  <w:textDirection w:val="btLr"/>
          </w:tcPr>
          <w:p w:rsidR="005556B9" w:rsidRPr="005556B9" w:rsidRDefault="005556B9" w:rsidP="005556B9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Almost certain to occur in most circumstances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  <w:tc>
          <w:tcPr>
            <w:tcW w:w="67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  <w:tc>
          <w:tcPr>
            <w:tcW w:w="7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  <w:tc>
          <w:tcPr>
            <w:tcW w:w="10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</w:tr>
      <w:tr w:rsidR="005556B9" w:rsidRPr="005556B9" w:rsidTr="00C34593">
        <w:trPr>
          <w:trHeight w:val="347"/>
        </w:trPr>
        <w:tc>
          <w:tcPr>
            <w:tcW w:w="196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Likely to occur frequently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Moderate</w:t>
            </w:r>
          </w:p>
        </w:tc>
        <w:tc>
          <w:tcPr>
            <w:tcW w:w="67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  <w:tc>
          <w:tcPr>
            <w:tcW w:w="7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  <w:tc>
          <w:tcPr>
            <w:tcW w:w="10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</w:tr>
      <w:tr w:rsidR="005556B9" w:rsidRPr="005556B9" w:rsidTr="00C34593">
        <w:trPr>
          <w:trHeight w:val="347"/>
        </w:trPr>
        <w:tc>
          <w:tcPr>
            <w:tcW w:w="196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Likely to occur at some time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Low</w:t>
            </w:r>
          </w:p>
        </w:tc>
        <w:tc>
          <w:tcPr>
            <w:tcW w:w="67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Moderate</w:t>
            </w:r>
          </w:p>
        </w:tc>
        <w:tc>
          <w:tcPr>
            <w:tcW w:w="7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  <w:tc>
          <w:tcPr>
            <w:tcW w:w="10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</w:tr>
      <w:tr w:rsidR="005556B9" w:rsidRPr="005556B9" w:rsidTr="00C34593">
        <w:trPr>
          <w:trHeight w:val="96"/>
        </w:trPr>
        <w:tc>
          <w:tcPr>
            <w:tcW w:w="196" w:type="pct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2060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1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Unlikely to occur, but could happen</w:t>
            </w:r>
          </w:p>
        </w:tc>
        <w:tc>
          <w:tcPr>
            <w:tcW w:w="70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Low</w:t>
            </w:r>
          </w:p>
        </w:tc>
        <w:tc>
          <w:tcPr>
            <w:tcW w:w="67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Low</w:t>
            </w:r>
          </w:p>
        </w:tc>
        <w:tc>
          <w:tcPr>
            <w:tcW w:w="7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Moderate</w:t>
            </w:r>
          </w:p>
        </w:tc>
        <w:tc>
          <w:tcPr>
            <w:tcW w:w="6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  <w:tc>
          <w:tcPr>
            <w:tcW w:w="100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Extreme</w:t>
            </w:r>
          </w:p>
        </w:tc>
      </w:tr>
      <w:tr w:rsidR="005556B9" w:rsidRPr="005556B9" w:rsidTr="00C34593">
        <w:trPr>
          <w:trHeight w:val="347"/>
        </w:trPr>
        <w:tc>
          <w:tcPr>
            <w:tcW w:w="196" w:type="pct"/>
            <w:vMerge/>
            <w:tcBorders>
              <w:top w:val="single" w:sz="4" w:space="0" w:color="999999"/>
            </w:tcBorders>
            <w:shd w:val="clear" w:color="auto" w:fill="002060"/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999999"/>
            </w:tcBorders>
          </w:tcPr>
          <w:p w:rsidR="005556B9" w:rsidRPr="005556B9" w:rsidRDefault="005556B9" w:rsidP="00555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6B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18" w:type="pct"/>
            <w:tcBorders>
              <w:top w:val="single" w:sz="4" w:space="0" w:color="999999"/>
            </w:tcBorders>
          </w:tcPr>
          <w:p w:rsidR="005556B9" w:rsidRPr="005556B9" w:rsidRDefault="005556B9" w:rsidP="005556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56B9">
              <w:rPr>
                <w:rFonts w:asciiTheme="minorHAnsi" w:hAnsiTheme="minorHAnsi" w:cstheme="minorHAnsi"/>
                <w:sz w:val="16"/>
                <w:szCs w:val="16"/>
              </w:rPr>
              <w:t>May occur, but probably never will</w:t>
            </w:r>
          </w:p>
        </w:tc>
        <w:tc>
          <w:tcPr>
            <w:tcW w:w="702" w:type="pct"/>
            <w:tcBorders>
              <w:top w:val="single" w:sz="4" w:space="0" w:color="999999"/>
            </w:tcBorders>
            <w:shd w:val="clear" w:color="auto" w:fill="00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Low</w:t>
            </w:r>
          </w:p>
        </w:tc>
        <w:tc>
          <w:tcPr>
            <w:tcW w:w="672" w:type="pct"/>
            <w:tcBorders>
              <w:top w:val="single" w:sz="4" w:space="0" w:color="999999"/>
            </w:tcBorders>
            <w:shd w:val="clear" w:color="auto" w:fill="00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Low</w:t>
            </w:r>
          </w:p>
        </w:tc>
        <w:tc>
          <w:tcPr>
            <w:tcW w:w="731" w:type="pct"/>
            <w:tcBorders>
              <w:top w:val="single" w:sz="4" w:space="0" w:color="999999"/>
            </w:tcBorders>
            <w:shd w:val="clear" w:color="auto" w:fill="FFFF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Moderate</w:t>
            </w:r>
          </w:p>
        </w:tc>
        <w:tc>
          <w:tcPr>
            <w:tcW w:w="643" w:type="pct"/>
            <w:tcBorders>
              <w:top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  <w:tc>
          <w:tcPr>
            <w:tcW w:w="1008" w:type="pct"/>
            <w:tcBorders>
              <w:top w:val="single" w:sz="4" w:space="0" w:color="999999"/>
            </w:tcBorders>
            <w:shd w:val="clear" w:color="auto" w:fill="FF0000"/>
            <w:vAlign w:val="center"/>
          </w:tcPr>
          <w:p w:rsidR="005556B9" w:rsidRPr="005556B9" w:rsidRDefault="005556B9" w:rsidP="00C345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6B9">
              <w:rPr>
                <w:rFonts w:asciiTheme="minorHAnsi" w:hAnsiTheme="minorHAnsi" w:cstheme="minorHAnsi"/>
                <w:b/>
                <w:sz w:val="18"/>
                <w:szCs w:val="18"/>
              </w:rPr>
              <w:t>High</w:t>
            </w:r>
          </w:p>
        </w:tc>
      </w:tr>
    </w:tbl>
    <w:p w:rsidR="00C34593" w:rsidRDefault="00C34593" w:rsidP="00097137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0"/>
          <w:szCs w:val="20"/>
          <w:lang w:eastAsia="en-AU"/>
        </w:rPr>
      </w:pPr>
    </w:p>
    <w:p w:rsidR="00097137" w:rsidRPr="007B5FAC" w:rsidRDefault="005556B9" w:rsidP="00097137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0"/>
          <w:szCs w:val="20"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8BAB3" wp14:editId="52BF5AAA">
                <wp:simplePos x="0" y="0"/>
                <wp:positionH relativeFrom="column">
                  <wp:posOffset>1857375</wp:posOffset>
                </wp:positionH>
                <wp:positionV relativeFrom="page">
                  <wp:posOffset>4924425</wp:posOffset>
                </wp:positionV>
                <wp:extent cx="2933700" cy="2238375"/>
                <wp:effectExtent l="0" t="0" r="19050" b="28575"/>
                <wp:wrapTight wrapText="bothSides">
                  <wp:wrapPolygon edited="0">
                    <wp:start x="0" y="0"/>
                    <wp:lineTo x="0" y="21692"/>
                    <wp:lineTo x="21600" y="21692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137" w:rsidRDefault="00097137" w:rsidP="00097137">
                            <w:pPr>
                              <w:shd w:val="clear" w:color="auto" w:fill="8EAADB" w:themeFill="accent5" w:themeFillTint="99"/>
                            </w:pPr>
                            <w:r w:rsidRPr="00FA4110">
                              <w:rPr>
                                <w:b/>
                                <w:i/>
                              </w:rPr>
                              <w:t>Recommended guides</w:t>
                            </w:r>
                            <w:r>
                              <w:t>:</w:t>
                            </w:r>
                          </w:p>
                          <w:p w:rsidR="00097137" w:rsidRDefault="00097137" w:rsidP="00097137">
                            <w:pPr>
                              <w:shd w:val="clear" w:color="auto" w:fill="8EAADB" w:themeFill="accent5" w:themeFillTint="99"/>
                            </w:pPr>
                          </w:p>
                          <w:p w:rsidR="00097137" w:rsidRPr="00C34593" w:rsidRDefault="00C34593" w:rsidP="00097137">
                            <w:pPr>
                              <w:shd w:val="clear" w:color="auto" w:fill="8EAADB" w:themeFill="accent5" w:themeFillTint="99"/>
                              <w:rPr>
                                <w:b/>
                                <w:color w:val="C00000"/>
                              </w:rPr>
                            </w:pPr>
                            <w:r w:rsidRPr="00C34593">
                              <w:rPr>
                                <w:b/>
                                <w:color w:val="C00000"/>
                              </w:rPr>
                              <w:t>Extreme</w:t>
                            </w:r>
                            <w:r w:rsidR="00097137" w:rsidRPr="00C34593">
                              <w:rPr>
                                <w:b/>
                                <w:color w:val="C00000"/>
                              </w:rPr>
                              <w:t xml:space="preserve"> risk: </w:t>
                            </w:r>
                            <w:r w:rsidRPr="00C34593">
                              <w:rPr>
                                <w:b/>
                                <w:color w:val="C00000"/>
                              </w:rPr>
                              <w:t xml:space="preserve">Review with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24 hours</w:t>
                            </w:r>
                          </w:p>
                          <w:p w:rsidR="00C34593" w:rsidRDefault="00C34593" w:rsidP="00097137">
                            <w:pPr>
                              <w:shd w:val="clear" w:color="auto" w:fill="8EAADB" w:themeFill="accent5" w:themeFillTint="99"/>
                            </w:pPr>
                          </w:p>
                          <w:p w:rsidR="00097137" w:rsidRPr="00C34593" w:rsidRDefault="00097137" w:rsidP="00097137">
                            <w:pPr>
                              <w:shd w:val="clear" w:color="auto" w:fill="8EAADB" w:themeFill="accent5" w:themeFillTint="99"/>
                              <w:rPr>
                                <w:b/>
                                <w:color w:val="FF0000"/>
                              </w:rPr>
                            </w:pPr>
                            <w:r w:rsidRPr="00C34593">
                              <w:rPr>
                                <w:b/>
                                <w:color w:val="FF0000"/>
                              </w:rPr>
                              <w:t xml:space="preserve">High risk: </w:t>
                            </w:r>
                            <w:r w:rsidR="00C34593" w:rsidRPr="00C34593">
                              <w:rPr>
                                <w:b/>
                                <w:color w:val="FF0000"/>
                              </w:rPr>
                              <w:t>Review within</w:t>
                            </w:r>
                            <w:r w:rsidRPr="00C3459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34593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C34593">
                              <w:rPr>
                                <w:b/>
                                <w:color w:val="FF0000"/>
                              </w:rPr>
                              <w:t>-7 days</w:t>
                            </w:r>
                          </w:p>
                          <w:p w:rsidR="00097137" w:rsidRPr="00C34593" w:rsidRDefault="00097137" w:rsidP="00097137">
                            <w:pPr>
                              <w:shd w:val="clear" w:color="auto" w:fill="8EAADB" w:themeFill="accent5" w:themeFillTint="99"/>
                              <w:rPr>
                                <w:color w:val="FF0000"/>
                              </w:rPr>
                            </w:pPr>
                          </w:p>
                          <w:p w:rsidR="00097137" w:rsidRPr="00FA4110" w:rsidRDefault="00097137" w:rsidP="00097137">
                            <w:pPr>
                              <w:shd w:val="clear" w:color="auto" w:fill="8EAADB" w:themeFill="accent5" w:themeFillTint="99"/>
                              <w:rPr>
                                <w:b/>
                                <w:color w:val="FFFF00"/>
                              </w:rPr>
                            </w:pPr>
                            <w:r w:rsidRPr="00FA4110">
                              <w:rPr>
                                <w:b/>
                                <w:color w:val="FFFF00"/>
                              </w:rPr>
                              <w:t xml:space="preserve">Medium risk: </w:t>
                            </w:r>
                            <w:r w:rsidR="00C34593">
                              <w:rPr>
                                <w:b/>
                                <w:color w:val="FFFF00"/>
                              </w:rPr>
                              <w:t>Review</w:t>
                            </w:r>
                            <w:r w:rsidRPr="00FA4110">
                              <w:rPr>
                                <w:b/>
                                <w:color w:val="FFFF00"/>
                              </w:rPr>
                              <w:t xml:space="preserve"> within 1-6 months</w:t>
                            </w:r>
                          </w:p>
                          <w:p w:rsidR="00097137" w:rsidRDefault="00097137" w:rsidP="00097137">
                            <w:pPr>
                              <w:shd w:val="clear" w:color="auto" w:fill="8EAADB" w:themeFill="accent5" w:themeFillTint="99"/>
                            </w:pPr>
                          </w:p>
                          <w:p w:rsidR="00097137" w:rsidRPr="00FA4110" w:rsidRDefault="00097137" w:rsidP="00097137">
                            <w:pPr>
                              <w:shd w:val="clear" w:color="auto" w:fill="8EAADB" w:themeFill="accent5" w:themeFillTint="99"/>
                              <w:rPr>
                                <w:b/>
                                <w:color w:val="15FF7F"/>
                              </w:rPr>
                            </w:pPr>
                            <w:r w:rsidRPr="00FA4110">
                              <w:rPr>
                                <w:b/>
                                <w:color w:val="15FF7F"/>
                              </w:rPr>
                              <w:t xml:space="preserve">Low risk:  </w:t>
                            </w:r>
                            <w:r w:rsidR="00C34593">
                              <w:rPr>
                                <w:b/>
                                <w:color w:val="15FF7F"/>
                              </w:rPr>
                              <w:t xml:space="preserve">Review within </w:t>
                            </w:r>
                            <w:r w:rsidRPr="00FA4110">
                              <w:rPr>
                                <w:b/>
                                <w:color w:val="15FF7F"/>
                              </w:rPr>
                              <w:t>6 – 12 months</w:t>
                            </w:r>
                          </w:p>
                          <w:p w:rsidR="00097137" w:rsidRDefault="00097137" w:rsidP="00097137">
                            <w:pPr>
                              <w:shd w:val="clear" w:color="auto" w:fill="8EAADB" w:themeFill="accent5" w:themeFillTint="99"/>
                            </w:pPr>
                          </w:p>
                          <w:p w:rsidR="00097137" w:rsidRDefault="00097137" w:rsidP="00097137">
                            <w:pPr>
                              <w:shd w:val="clear" w:color="auto" w:fill="8EAADB" w:themeFill="accent5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8BA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25pt;margin-top:387.75pt;width:231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" fillcolor="white [3201]" strokeweight=".5pt">
                <v:textbox>
                  <w:txbxContent>
                    <w:p w:rsidR="00097137" w:rsidRDefault="00097137" w:rsidP="00097137">
                      <w:pPr>
                        <w:shd w:val="clear" w:color="auto" w:fill="8EAADB" w:themeFill="accent5" w:themeFillTint="99"/>
                      </w:pPr>
                      <w:r w:rsidRPr="00FA4110">
                        <w:rPr>
                          <w:b/>
                          <w:i/>
                        </w:rPr>
                        <w:t>Recommended guides</w:t>
                      </w:r>
                      <w:r>
                        <w:t>:</w:t>
                      </w:r>
                    </w:p>
                    <w:p w:rsidR="00097137" w:rsidRDefault="00097137" w:rsidP="00097137">
                      <w:pPr>
                        <w:shd w:val="clear" w:color="auto" w:fill="8EAADB" w:themeFill="accent5" w:themeFillTint="99"/>
                      </w:pPr>
                    </w:p>
                    <w:p w:rsidR="00097137" w:rsidRPr="00C34593" w:rsidRDefault="00C34593" w:rsidP="00097137">
                      <w:pPr>
                        <w:shd w:val="clear" w:color="auto" w:fill="8EAADB" w:themeFill="accent5" w:themeFillTint="99"/>
                        <w:rPr>
                          <w:b/>
                          <w:color w:val="C00000"/>
                        </w:rPr>
                      </w:pPr>
                      <w:r w:rsidRPr="00C34593">
                        <w:rPr>
                          <w:b/>
                          <w:color w:val="C00000"/>
                        </w:rPr>
                        <w:t>Extreme</w:t>
                      </w:r>
                      <w:r w:rsidR="00097137" w:rsidRPr="00C34593">
                        <w:rPr>
                          <w:b/>
                          <w:color w:val="C00000"/>
                        </w:rPr>
                        <w:t xml:space="preserve"> risk: </w:t>
                      </w:r>
                      <w:r w:rsidRPr="00C34593">
                        <w:rPr>
                          <w:b/>
                          <w:color w:val="C00000"/>
                        </w:rPr>
                        <w:t xml:space="preserve">Review with </w:t>
                      </w:r>
                      <w:r>
                        <w:rPr>
                          <w:b/>
                          <w:color w:val="C00000"/>
                        </w:rPr>
                        <w:t>24 hours</w:t>
                      </w:r>
                    </w:p>
                    <w:p w:rsidR="00C34593" w:rsidRDefault="00C34593" w:rsidP="00097137">
                      <w:pPr>
                        <w:shd w:val="clear" w:color="auto" w:fill="8EAADB" w:themeFill="accent5" w:themeFillTint="99"/>
                      </w:pPr>
                    </w:p>
                    <w:p w:rsidR="00097137" w:rsidRPr="00C34593" w:rsidRDefault="00097137" w:rsidP="00097137">
                      <w:pPr>
                        <w:shd w:val="clear" w:color="auto" w:fill="8EAADB" w:themeFill="accent5" w:themeFillTint="99"/>
                        <w:rPr>
                          <w:b/>
                          <w:color w:val="FF0000"/>
                        </w:rPr>
                      </w:pPr>
                      <w:r w:rsidRPr="00C34593">
                        <w:rPr>
                          <w:b/>
                          <w:color w:val="FF0000"/>
                        </w:rPr>
                        <w:t xml:space="preserve">High risk: </w:t>
                      </w:r>
                      <w:r w:rsidR="00C34593" w:rsidRPr="00C34593">
                        <w:rPr>
                          <w:b/>
                          <w:color w:val="FF0000"/>
                        </w:rPr>
                        <w:t>Review within</w:t>
                      </w:r>
                      <w:r w:rsidRPr="00C34593">
                        <w:rPr>
                          <w:b/>
                          <w:color w:val="FF0000"/>
                        </w:rPr>
                        <w:t xml:space="preserve"> </w:t>
                      </w:r>
                      <w:r w:rsidR="00C34593">
                        <w:rPr>
                          <w:b/>
                          <w:color w:val="FF0000"/>
                        </w:rPr>
                        <w:t>2</w:t>
                      </w:r>
                      <w:r w:rsidRPr="00C34593">
                        <w:rPr>
                          <w:b/>
                          <w:color w:val="FF0000"/>
                        </w:rPr>
                        <w:t>-7 days</w:t>
                      </w:r>
                    </w:p>
                    <w:p w:rsidR="00097137" w:rsidRPr="00C34593" w:rsidRDefault="00097137" w:rsidP="00097137">
                      <w:pPr>
                        <w:shd w:val="clear" w:color="auto" w:fill="8EAADB" w:themeFill="accent5" w:themeFillTint="99"/>
                        <w:rPr>
                          <w:color w:val="FF0000"/>
                        </w:rPr>
                      </w:pPr>
                    </w:p>
                    <w:p w:rsidR="00097137" w:rsidRPr="00FA4110" w:rsidRDefault="00097137" w:rsidP="00097137">
                      <w:pPr>
                        <w:shd w:val="clear" w:color="auto" w:fill="8EAADB" w:themeFill="accent5" w:themeFillTint="99"/>
                        <w:rPr>
                          <w:b/>
                          <w:color w:val="FFFF00"/>
                        </w:rPr>
                      </w:pPr>
                      <w:r w:rsidRPr="00FA4110">
                        <w:rPr>
                          <w:b/>
                          <w:color w:val="FFFF00"/>
                        </w:rPr>
                        <w:t xml:space="preserve">Medium risk: </w:t>
                      </w:r>
                      <w:r w:rsidR="00C34593">
                        <w:rPr>
                          <w:b/>
                          <w:color w:val="FFFF00"/>
                        </w:rPr>
                        <w:t>Review</w:t>
                      </w:r>
                      <w:r w:rsidRPr="00FA4110">
                        <w:rPr>
                          <w:b/>
                          <w:color w:val="FFFF00"/>
                        </w:rPr>
                        <w:t xml:space="preserve"> within 1-6 months</w:t>
                      </w:r>
                    </w:p>
                    <w:p w:rsidR="00097137" w:rsidRDefault="00097137" w:rsidP="00097137">
                      <w:pPr>
                        <w:shd w:val="clear" w:color="auto" w:fill="8EAADB" w:themeFill="accent5" w:themeFillTint="99"/>
                      </w:pPr>
                    </w:p>
                    <w:p w:rsidR="00097137" w:rsidRPr="00FA4110" w:rsidRDefault="00097137" w:rsidP="00097137">
                      <w:pPr>
                        <w:shd w:val="clear" w:color="auto" w:fill="8EAADB" w:themeFill="accent5" w:themeFillTint="99"/>
                        <w:rPr>
                          <w:b/>
                          <w:color w:val="15FF7F"/>
                        </w:rPr>
                      </w:pPr>
                      <w:r w:rsidRPr="00FA4110">
                        <w:rPr>
                          <w:b/>
                          <w:color w:val="15FF7F"/>
                        </w:rPr>
                        <w:t xml:space="preserve">Low risk:  </w:t>
                      </w:r>
                      <w:r w:rsidR="00C34593">
                        <w:rPr>
                          <w:b/>
                          <w:color w:val="15FF7F"/>
                        </w:rPr>
                        <w:t xml:space="preserve">Review within </w:t>
                      </w:r>
                      <w:r w:rsidRPr="00FA4110">
                        <w:rPr>
                          <w:b/>
                          <w:color w:val="15FF7F"/>
                        </w:rPr>
                        <w:t>6 – 12 months</w:t>
                      </w:r>
                    </w:p>
                    <w:p w:rsidR="00097137" w:rsidRDefault="00097137" w:rsidP="00097137">
                      <w:pPr>
                        <w:shd w:val="clear" w:color="auto" w:fill="8EAADB" w:themeFill="accent5" w:themeFillTint="99"/>
                      </w:pPr>
                    </w:p>
                    <w:p w:rsidR="00097137" w:rsidRDefault="00097137" w:rsidP="00097137">
                      <w:pPr>
                        <w:shd w:val="clear" w:color="auto" w:fill="8EAADB" w:themeFill="accent5" w:themeFillTint="99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D72102" w:rsidRDefault="00C34593">
      <w:bookmarkStart w:id="0" w:name="_GoBack"/>
      <w:bookmarkEnd w:id="0"/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72D5AC" wp14:editId="447BDEA2">
                <wp:simplePos x="0" y="0"/>
                <wp:positionH relativeFrom="column">
                  <wp:posOffset>5308600</wp:posOffset>
                </wp:positionH>
                <wp:positionV relativeFrom="page">
                  <wp:posOffset>5276850</wp:posOffset>
                </wp:positionV>
                <wp:extent cx="3257550" cy="1333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137" w:rsidRPr="00FA4110" w:rsidRDefault="005F7813" w:rsidP="00097137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t>If re-assessing an existing hazard</w:t>
                            </w:r>
                            <w:r w:rsidR="00CB4C21">
                              <w:rPr>
                                <w:lang w:eastAsia="en-AU"/>
                              </w:rPr>
                              <w:t xml:space="preserve"> consider</w:t>
                            </w:r>
                            <w:r w:rsidR="00097137" w:rsidRPr="00FA4110">
                              <w:rPr>
                                <w:lang w:eastAsia="en-AU"/>
                              </w:rPr>
                              <w:t xml:space="preserve"> the likelihood or consequences of exposure, bear in mind the existing risk control measures, e.g. the safe operating equipment and procedures that are in place etc. The existence of </w:t>
                            </w:r>
                            <w:r>
                              <w:rPr>
                                <w:lang w:eastAsia="en-AU"/>
                              </w:rPr>
                              <w:t>additional</w:t>
                            </w:r>
                            <w:r w:rsidR="00097137" w:rsidRPr="00FA4110">
                              <w:rPr>
                                <w:lang w:eastAsia="en-AU"/>
                              </w:rPr>
                              <w:t xml:space="preserve"> risk control measures will reduce the potential for injury.</w:t>
                            </w:r>
                          </w:p>
                          <w:p w:rsidR="00097137" w:rsidRDefault="00097137" w:rsidP="00097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D5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18pt;margin-top:415.5pt;width:256.5pt;height:1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" fillcolor="white [3201]" strokeweight=".5pt">
                <v:textbox>
                  <w:txbxContent>
                    <w:p w:rsidR="00097137" w:rsidRPr="00FA4110" w:rsidRDefault="005F7813" w:rsidP="00097137">
                      <w:pPr>
                        <w:spacing w:before="100" w:beforeAutospacing="1" w:after="100" w:afterAutospacing="1"/>
                        <w:jc w:val="both"/>
                        <w:rPr>
                          <w:lang w:eastAsia="en-AU"/>
                        </w:rPr>
                      </w:pPr>
                      <w:r>
                        <w:rPr>
                          <w:lang w:eastAsia="en-AU"/>
                        </w:rPr>
                        <w:t>If re-assessing an existing hazard</w:t>
                      </w:r>
                      <w:r w:rsidR="00CB4C21">
                        <w:rPr>
                          <w:lang w:eastAsia="en-AU"/>
                        </w:rPr>
                        <w:t xml:space="preserve"> consider</w:t>
                      </w:r>
                      <w:r w:rsidR="00097137" w:rsidRPr="00FA4110">
                        <w:rPr>
                          <w:lang w:eastAsia="en-AU"/>
                        </w:rPr>
                        <w:t xml:space="preserve"> the likelihood or consequences of exposure, bear in mind the existing risk control measures, e.g. the safe operating equipment and procedures that are in place etc. The existence of </w:t>
                      </w:r>
                      <w:r>
                        <w:rPr>
                          <w:lang w:eastAsia="en-AU"/>
                        </w:rPr>
                        <w:t>additional</w:t>
                      </w:r>
                      <w:r w:rsidR="00097137" w:rsidRPr="00FA4110">
                        <w:rPr>
                          <w:lang w:eastAsia="en-AU"/>
                        </w:rPr>
                        <w:t xml:space="preserve"> risk control measures will reduce the potential for injury.</w:t>
                      </w:r>
                    </w:p>
                    <w:p w:rsidR="00097137" w:rsidRDefault="00097137" w:rsidP="00097137"/>
                  </w:txbxContent>
                </v:textbox>
                <w10:wrap type="tight" anchory="page"/>
              </v:shape>
            </w:pict>
          </mc:Fallback>
        </mc:AlternateContent>
      </w:r>
    </w:p>
    <w:sectPr w:rsidR="00D72102" w:rsidSect="00522E62">
      <w:footerReference w:type="default" r:id="rId8"/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62" w:rsidRDefault="00522E62" w:rsidP="00522E62">
      <w:r>
        <w:separator/>
      </w:r>
    </w:p>
  </w:endnote>
  <w:endnote w:type="continuationSeparator" w:id="0">
    <w:p w:rsidR="00522E62" w:rsidRDefault="00522E62" w:rsidP="0052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62" w:rsidRPr="005F7813" w:rsidRDefault="00522E62">
    <w:pPr>
      <w:pStyle w:val="Footer"/>
      <w:rPr>
        <w:sz w:val="16"/>
        <w:szCs w:val="16"/>
      </w:rPr>
    </w:pPr>
    <w:r w:rsidRPr="005F7813">
      <w:rPr>
        <w:sz w:val="16"/>
        <w:szCs w:val="16"/>
      </w:rPr>
      <w:t xml:space="preserve">Version </w:t>
    </w:r>
    <w:r w:rsidR="005556B9" w:rsidRPr="005F7813">
      <w:rPr>
        <w:sz w:val="16"/>
        <w:szCs w:val="16"/>
      </w:rPr>
      <w:t>2</w:t>
    </w:r>
    <w:r w:rsidRPr="005F7813">
      <w:rPr>
        <w:sz w:val="16"/>
        <w:szCs w:val="16"/>
      </w:rPr>
      <w:t xml:space="preserve">:  </w:t>
    </w:r>
    <w:r w:rsidR="005556B9" w:rsidRPr="005F7813">
      <w:rPr>
        <w:sz w:val="16"/>
        <w:szCs w:val="16"/>
      </w:rPr>
      <w:t>Jan 2019</w:t>
    </w:r>
    <w:r w:rsidR="005F7813">
      <w:rPr>
        <w:sz w:val="16"/>
        <w:szCs w:val="16"/>
      </w:rPr>
      <w:tab/>
    </w:r>
    <w:r w:rsidR="005F7813">
      <w:rPr>
        <w:sz w:val="16"/>
        <w:szCs w:val="16"/>
      </w:rPr>
      <w:tab/>
    </w:r>
    <w:r w:rsidR="005F7813">
      <w:rPr>
        <w:sz w:val="16"/>
        <w:szCs w:val="16"/>
      </w:rPr>
      <w:tab/>
    </w:r>
    <w:r w:rsidR="005F7813">
      <w:rPr>
        <w:sz w:val="16"/>
        <w:szCs w:val="16"/>
      </w:rPr>
      <w:tab/>
    </w:r>
    <w:r w:rsidR="005F7813">
      <w:rPr>
        <w:sz w:val="16"/>
        <w:szCs w:val="16"/>
      </w:rPr>
      <w:tab/>
    </w:r>
    <w:r w:rsidR="005F7813">
      <w:rPr>
        <w:sz w:val="16"/>
        <w:szCs w:val="16"/>
      </w:rPr>
      <w:tab/>
    </w:r>
    <w:r w:rsidR="005F7813">
      <w:rPr>
        <w:sz w:val="16"/>
        <w:szCs w:val="16"/>
      </w:rPr>
      <w:tab/>
      <w:t>Review Date: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62" w:rsidRDefault="00522E62" w:rsidP="00522E62">
      <w:r>
        <w:separator/>
      </w:r>
    </w:p>
  </w:footnote>
  <w:footnote w:type="continuationSeparator" w:id="0">
    <w:p w:rsidR="00522E62" w:rsidRDefault="00522E62" w:rsidP="0052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48B2"/>
    <w:multiLevelType w:val="hybridMultilevel"/>
    <w:tmpl w:val="5762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2"/>
    <w:rsid w:val="00005187"/>
    <w:rsid w:val="000078EA"/>
    <w:rsid w:val="000102F0"/>
    <w:rsid w:val="00021394"/>
    <w:rsid w:val="00022684"/>
    <w:rsid w:val="00031A47"/>
    <w:rsid w:val="00031F8E"/>
    <w:rsid w:val="0003371B"/>
    <w:rsid w:val="0004128A"/>
    <w:rsid w:val="000424F8"/>
    <w:rsid w:val="00044CB1"/>
    <w:rsid w:val="00060220"/>
    <w:rsid w:val="00061053"/>
    <w:rsid w:val="0007075D"/>
    <w:rsid w:val="00071538"/>
    <w:rsid w:val="00074A4A"/>
    <w:rsid w:val="00075798"/>
    <w:rsid w:val="0007693A"/>
    <w:rsid w:val="000803F5"/>
    <w:rsid w:val="00080EA7"/>
    <w:rsid w:val="000813B6"/>
    <w:rsid w:val="000823CC"/>
    <w:rsid w:val="000832C5"/>
    <w:rsid w:val="000839F6"/>
    <w:rsid w:val="00085AC7"/>
    <w:rsid w:val="0008682F"/>
    <w:rsid w:val="00091162"/>
    <w:rsid w:val="00092581"/>
    <w:rsid w:val="00097137"/>
    <w:rsid w:val="00097E47"/>
    <w:rsid w:val="000A0403"/>
    <w:rsid w:val="000A5060"/>
    <w:rsid w:val="000A67E9"/>
    <w:rsid w:val="000A7F7E"/>
    <w:rsid w:val="000B0A1F"/>
    <w:rsid w:val="000B21B5"/>
    <w:rsid w:val="000B74A4"/>
    <w:rsid w:val="000C27D0"/>
    <w:rsid w:val="000D31A5"/>
    <w:rsid w:val="000E0C18"/>
    <w:rsid w:val="000E12C8"/>
    <w:rsid w:val="000E3627"/>
    <w:rsid w:val="000E3F61"/>
    <w:rsid w:val="000F036F"/>
    <w:rsid w:val="000F53A2"/>
    <w:rsid w:val="000F778E"/>
    <w:rsid w:val="00100D0E"/>
    <w:rsid w:val="00102F7D"/>
    <w:rsid w:val="001053BC"/>
    <w:rsid w:val="00106F5B"/>
    <w:rsid w:val="0010765A"/>
    <w:rsid w:val="00110B30"/>
    <w:rsid w:val="00113DA0"/>
    <w:rsid w:val="001232D1"/>
    <w:rsid w:val="00127E61"/>
    <w:rsid w:val="001309AF"/>
    <w:rsid w:val="0013320F"/>
    <w:rsid w:val="001352BF"/>
    <w:rsid w:val="001370D7"/>
    <w:rsid w:val="00137793"/>
    <w:rsid w:val="001379C7"/>
    <w:rsid w:val="00141EAC"/>
    <w:rsid w:val="00143C38"/>
    <w:rsid w:val="001506F8"/>
    <w:rsid w:val="0015197B"/>
    <w:rsid w:val="00154886"/>
    <w:rsid w:val="0015691B"/>
    <w:rsid w:val="00157F98"/>
    <w:rsid w:val="001630C1"/>
    <w:rsid w:val="001751BB"/>
    <w:rsid w:val="00175BB8"/>
    <w:rsid w:val="0018044A"/>
    <w:rsid w:val="00190E5F"/>
    <w:rsid w:val="001A3D5E"/>
    <w:rsid w:val="001A55AE"/>
    <w:rsid w:val="001B013E"/>
    <w:rsid w:val="001B3676"/>
    <w:rsid w:val="001B436F"/>
    <w:rsid w:val="001B5650"/>
    <w:rsid w:val="001C3A1B"/>
    <w:rsid w:val="001C4B6E"/>
    <w:rsid w:val="001C5DA7"/>
    <w:rsid w:val="001D02C3"/>
    <w:rsid w:val="001D098A"/>
    <w:rsid w:val="001D3AAD"/>
    <w:rsid w:val="001D554C"/>
    <w:rsid w:val="001D62BF"/>
    <w:rsid w:val="001E1A79"/>
    <w:rsid w:val="001F201C"/>
    <w:rsid w:val="001F3B2E"/>
    <w:rsid w:val="001F4AAC"/>
    <w:rsid w:val="0020034F"/>
    <w:rsid w:val="00215A44"/>
    <w:rsid w:val="00215A65"/>
    <w:rsid w:val="00221323"/>
    <w:rsid w:val="00221F39"/>
    <w:rsid w:val="002327FF"/>
    <w:rsid w:val="00234B7C"/>
    <w:rsid w:val="00235B74"/>
    <w:rsid w:val="00236608"/>
    <w:rsid w:val="0023677C"/>
    <w:rsid w:val="00241F3F"/>
    <w:rsid w:val="00242FC2"/>
    <w:rsid w:val="00247950"/>
    <w:rsid w:val="002567A8"/>
    <w:rsid w:val="00263A99"/>
    <w:rsid w:val="00266F46"/>
    <w:rsid w:val="002676E2"/>
    <w:rsid w:val="002768DC"/>
    <w:rsid w:val="00276EEA"/>
    <w:rsid w:val="00276FC5"/>
    <w:rsid w:val="002777CF"/>
    <w:rsid w:val="00277F16"/>
    <w:rsid w:val="00282D4F"/>
    <w:rsid w:val="00284947"/>
    <w:rsid w:val="00290B29"/>
    <w:rsid w:val="00294E10"/>
    <w:rsid w:val="00296DC1"/>
    <w:rsid w:val="002A00F2"/>
    <w:rsid w:val="002A4341"/>
    <w:rsid w:val="002A52B8"/>
    <w:rsid w:val="002A5B60"/>
    <w:rsid w:val="002C00BB"/>
    <w:rsid w:val="002C1896"/>
    <w:rsid w:val="002C2AAB"/>
    <w:rsid w:val="002D3BDF"/>
    <w:rsid w:val="002D63F4"/>
    <w:rsid w:val="002E0238"/>
    <w:rsid w:val="002E0A31"/>
    <w:rsid w:val="002E6208"/>
    <w:rsid w:val="002F396C"/>
    <w:rsid w:val="002F4B49"/>
    <w:rsid w:val="002F60C1"/>
    <w:rsid w:val="00310B22"/>
    <w:rsid w:val="003124B9"/>
    <w:rsid w:val="00315304"/>
    <w:rsid w:val="00324354"/>
    <w:rsid w:val="00325756"/>
    <w:rsid w:val="003347AA"/>
    <w:rsid w:val="00342636"/>
    <w:rsid w:val="0034380A"/>
    <w:rsid w:val="003448E1"/>
    <w:rsid w:val="0034525F"/>
    <w:rsid w:val="00347D90"/>
    <w:rsid w:val="00354E35"/>
    <w:rsid w:val="0036004B"/>
    <w:rsid w:val="003627B0"/>
    <w:rsid w:val="0036620E"/>
    <w:rsid w:val="00367026"/>
    <w:rsid w:val="00383F58"/>
    <w:rsid w:val="00385456"/>
    <w:rsid w:val="00385EA2"/>
    <w:rsid w:val="00386752"/>
    <w:rsid w:val="00393EB0"/>
    <w:rsid w:val="003A2C1D"/>
    <w:rsid w:val="003A38EE"/>
    <w:rsid w:val="003A453F"/>
    <w:rsid w:val="003A565F"/>
    <w:rsid w:val="003A78EA"/>
    <w:rsid w:val="003B738E"/>
    <w:rsid w:val="003C071B"/>
    <w:rsid w:val="003C13CE"/>
    <w:rsid w:val="003C1954"/>
    <w:rsid w:val="003C6A59"/>
    <w:rsid w:val="003D386C"/>
    <w:rsid w:val="003D48DA"/>
    <w:rsid w:val="003D61A0"/>
    <w:rsid w:val="003D7A81"/>
    <w:rsid w:val="003D7C16"/>
    <w:rsid w:val="003E1B08"/>
    <w:rsid w:val="003E23C3"/>
    <w:rsid w:val="003E3AE4"/>
    <w:rsid w:val="003F0063"/>
    <w:rsid w:val="003F07EE"/>
    <w:rsid w:val="003F0CEB"/>
    <w:rsid w:val="003F1E2A"/>
    <w:rsid w:val="003F5CB8"/>
    <w:rsid w:val="003F65F6"/>
    <w:rsid w:val="00401C1E"/>
    <w:rsid w:val="0040489B"/>
    <w:rsid w:val="00407C1B"/>
    <w:rsid w:val="00410D9D"/>
    <w:rsid w:val="00412B09"/>
    <w:rsid w:val="004136D5"/>
    <w:rsid w:val="00413AD3"/>
    <w:rsid w:val="00417808"/>
    <w:rsid w:val="00421CF4"/>
    <w:rsid w:val="00422595"/>
    <w:rsid w:val="00424BB1"/>
    <w:rsid w:val="00424C16"/>
    <w:rsid w:val="004252A6"/>
    <w:rsid w:val="004310FF"/>
    <w:rsid w:val="00432A7E"/>
    <w:rsid w:val="00441BF3"/>
    <w:rsid w:val="00453309"/>
    <w:rsid w:val="00456C9F"/>
    <w:rsid w:val="00457A0D"/>
    <w:rsid w:val="0046005B"/>
    <w:rsid w:val="00460617"/>
    <w:rsid w:val="00461E37"/>
    <w:rsid w:val="00465B04"/>
    <w:rsid w:val="00476097"/>
    <w:rsid w:val="004821CA"/>
    <w:rsid w:val="004936EB"/>
    <w:rsid w:val="004961CA"/>
    <w:rsid w:val="00496D7D"/>
    <w:rsid w:val="004972BA"/>
    <w:rsid w:val="00497C03"/>
    <w:rsid w:val="004B0259"/>
    <w:rsid w:val="004B028F"/>
    <w:rsid w:val="004B2F41"/>
    <w:rsid w:val="004B3AE2"/>
    <w:rsid w:val="004B7609"/>
    <w:rsid w:val="004C546A"/>
    <w:rsid w:val="004C771C"/>
    <w:rsid w:val="004D2409"/>
    <w:rsid w:val="004D41DC"/>
    <w:rsid w:val="004D6C44"/>
    <w:rsid w:val="004E0027"/>
    <w:rsid w:val="004E1F3F"/>
    <w:rsid w:val="004E2EC0"/>
    <w:rsid w:val="004E3966"/>
    <w:rsid w:val="004E3AB4"/>
    <w:rsid w:val="004E6CF2"/>
    <w:rsid w:val="004E734D"/>
    <w:rsid w:val="004F67A9"/>
    <w:rsid w:val="00502C81"/>
    <w:rsid w:val="00520951"/>
    <w:rsid w:val="00522E62"/>
    <w:rsid w:val="00530255"/>
    <w:rsid w:val="00537276"/>
    <w:rsid w:val="0054030A"/>
    <w:rsid w:val="00541167"/>
    <w:rsid w:val="0055196E"/>
    <w:rsid w:val="00554CE6"/>
    <w:rsid w:val="005556B9"/>
    <w:rsid w:val="0056041C"/>
    <w:rsid w:val="00563B49"/>
    <w:rsid w:val="00564D9A"/>
    <w:rsid w:val="00565679"/>
    <w:rsid w:val="00573665"/>
    <w:rsid w:val="005845AF"/>
    <w:rsid w:val="0058497E"/>
    <w:rsid w:val="00590E93"/>
    <w:rsid w:val="00597CDC"/>
    <w:rsid w:val="005A03F2"/>
    <w:rsid w:val="005A2418"/>
    <w:rsid w:val="005B5052"/>
    <w:rsid w:val="005C5AAC"/>
    <w:rsid w:val="005C78EA"/>
    <w:rsid w:val="005D0A15"/>
    <w:rsid w:val="005D4EC6"/>
    <w:rsid w:val="005D50D0"/>
    <w:rsid w:val="005D55DF"/>
    <w:rsid w:val="005D5807"/>
    <w:rsid w:val="005D6D9F"/>
    <w:rsid w:val="005E00BF"/>
    <w:rsid w:val="005E2D07"/>
    <w:rsid w:val="005E6A46"/>
    <w:rsid w:val="005F2022"/>
    <w:rsid w:val="005F2ACC"/>
    <w:rsid w:val="005F60D6"/>
    <w:rsid w:val="005F7813"/>
    <w:rsid w:val="0060580B"/>
    <w:rsid w:val="00606C5C"/>
    <w:rsid w:val="00612F4C"/>
    <w:rsid w:val="00625B50"/>
    <w:rsid w:val="00634B20"/>
    <w:rsid w:val="006354D6"/>
    <w:rsid w:val="006456E1"/>
    <w:rsid w:val="006570A3"/>
    <w:rsid w:val="00657D00"/>
    <w:rsid w:val="00657D65"/>
    <w:rsid w:val="00660141"/>
    <w:rsid w:val="00661C58"/>
    <w:rsid w:val="00665FCF"/>
    <w:rsid w:val="00674089"/>
    <w:rsid w:val="006775C1"/>
    <w:rsid w:val="006779D2"/>
    <w:rsid w:val="0068023E"/>
    <w:rsid w:val="00685298"/>
    <w:rsid w:val="00685CDC"/>
    <w:rsid w:val="006872A8"/>
    <w:rsid w:val="006914E0"/>
    <w:rsid w:val="006A2F5A"/>
    <w:rsid w:val="006A4ED2"/>
    <w:rsid w:val="006A7715"/>
    <w:rsid w:val="006B386A"/>
    <w:rsid w:val="006B6FD2"/>
    <w:rsid w:val="006C1CC5"/>
    <w:rsid w:val="006C46D8"/>
    <w:rsid w:val="006C593C"/>
    <w:rsid w:val="006C6730"/>
    <w:rsid w:val="006D00C7"/>
    <w:rsid w:val="006D3A26"/>
    <w:rsid w:val="006D6AA1"/>
    <w:rsid w:val="006E093A"/>
    <w:rsid w:val="006E439D"/>
    <w:rsid w:val="006F22E3"/>
    <w:rsid w:val="00706867"/>
    <w:rsid w:val="007106EA"/>
    <w:rsid w:val="007106F4"/>
    <w:rsid w:val="00710720"/>
    <w:rsid w:val="00710C2C"/>
    <w:rsid w:val="007142E8"/>
    <w:rsid w:val="00714935"/>
    <w:rsid w:val="0072566E"/>
    <w:rsid w:val="00726078"/>
    <w:rsid w:val="00726176"/>
    <w:rsid w:val="00726854"/>
    <w:rsid w:val="0073361F"/>
    <w:rsid w:val="00734627"/>
    <w:rsid w:val="007359FD"/>
    <w:rsid w:val="00740C74"/>
    <w:rsid w:val="00740FEA"/>
    <w:rsid w:val="00745387"/>
    <w:rsid w:val="00747754"/>
    <w:rsid w:val="0075706D"/>
    <w:rsid w:val="00757B5D"/>
    <w:rsid w:val="007614D6"/>
    <w:rsid w:val="00777F3C"/>
    <w:rsid w:val="007859A2"/>
    <w:rsid w:val="007906BB"/>
    <w:rsid w:val="007A5B47"/>
    <w:rsid w:val="007A6995"/>
    <w:rsid w:val="007B49CA"/>
    <w:rsid w:val="007B640D"/>
    <w:rsid w:val="007C2847"/>
    <w:rsid w:val="007C5E3F"/>
    <w:rsid w:val="007C6C35"/>
    <w:rsid w:val="007D24D4"/>
    <w:rsid w:val="007D2981"/>
    <w:rsid w:val="007D39DA"/>
    <w:rsid w:val="007D60D5"/>
    <w:rsid w:val="007E73EF"/>
    <w:rsid w:val="007F0E83"/>
    <w:rsid w:val="008105E5"/>
    <w:rsid w:val="00812302"/>
    <w:rsid w:val="0082101D"/>
    <w:rsid w:val="008234F3"/>
    <w:rsid w:val="00823644"/>
    <w:rsid w:val="008244BF"/>
    <w:rsid w:val="00826EF5"/>
    <w:rsid w:val="00831690"/>
    <w:rsid w:val="00832AC6"/>
    <w:rsid w:val="00833A5E"/>
    <w:rsid w:val="00837010"/>
    <w:rsid w:val="008436E8"/>
    <w:rsid w:val="008504A9"/>
    <w:rsid w:val="0085150C"/>
    <w:rsid w:val="00853897"/>
    <w:rsid w:val="00854723"/>
    <w:rsid w:val="00857454"/>
    <w:rsid w:val="00866E42"/>
    <w:rsid w:val="00866E6B"/>
    <w:rsid w:val="00867475"/>
    <w:rsid w:val="0087075B"/>
    <w:rsid w:val="00877A9D"/>
    <w:rsid w:val="0088681D"/>
    <w:rsid w:val="0089233F"/>
    <w:rsid w:val="00892F28"/>
    <w:rsid w:val="0089502E"/>
    <w:rsid w:val="0089529E"/>
    <w:rsid w:val="00896421"/>
    <w:rsid w:val="008979D4"/>
    <w:rsid w:val="008A22B1"/>
    <w:rsid w:val="008B5B5D"/>
    <w:rsid w:val="008B617C"/>
    <w:rsid w:val="008C313E"/>
    <w:rsid w:val="008C4C39"/>
    <w:rsid w:val="008D0F06"/>
    <w:rsid w:val="008E0362"/>
    <w:rsid w:val="008E089E"/>
    <w:rsid w:val="008E53CB"/>
    <w:rsid w:val="008F06E2"/>
    <w:rsid w:val="008F10A8"/>
    <w:rsid w:val="008F24D5"/>
    <w:rsid w:val="008F3301"/>
    <w:rsid w:val="008F4A06"/>
    <w:rsid w:val="0090270A"/>
    <w:rsid w:val="00911859"/>
    <w:rsid w:val="00914A3E"/>
    <w:rsid w:val="00914D3B"/>
    <w:rsid w:val="00915BA7"/>
    <w:rsid w:val="00917D51"/>
    <w:rsid w:val="009245C5"/>
    <w:rsid w:val="00926482"/>
    <w:rsid w:val="009265D1"/>
    <w:rsid w:val="00930C5D"/>
    <w:rsid w:val="00931D53"/>
    <w:rsid w:val="00933D9A"/>
    <w:rsid w:val="00933FE7"/>
    <w:rsid w:val="00950FCC"/>
    <w:rsid w:val="00957C42"/>
    <w:rsid w:val="009717FB"/>
    <w:rsid w:val="009757CB"/>
    <w:rsid w:val="00981724"/>
    <w:rsid w:val="0099238F"/>
    <w:rsid w:val="009A5D29"/>
    <w:rsid w:val="009A6E95"/>
    <w:rsid w:val="009A794E"/>
    <w:rsid w:val="009B044C"/>
    <w:rsid w:val="009B5C85"/>
    <w:rsid w:val="009C0A5C"/>
    <w:rsid w:val="009C1AE5"/>
    <w:rsid w:val="009C2745"/>
    <w:rsid w:val="009C4EF0"/>
    <w:rsid w:val="009C6BB0"/>
    <w:rsid w:val="009D4CE7"/>
    <w:rsid w:val="009D598C"/>
    <w:rsid w:val="009E12EC"/>
    <w:rsid w:val="009E60E9"/>
    <w:rsid w:val="009F0110"/>
    <w:rsid w:val="009F1F51"/>
    <w:rsid w:val="009F50B3"/>
    <w:rsid w:val="00A01F3B"/>
    <w:rsid w:val="00A1625C"/>
    <w:rsid w:val="00A16512"/>
    <w:rsid w:val="00A221E4"/>
    <w:rsid w:val="00A27D20"/>
    <w:rsid w:val="00A309CA"/>
    <w:rsid w:val="00A54F4D"/>
    <w:rsid w:val="00A759E0"/>
    <w:rsid w:val="00A802D5"/>
    <w:rsid w:val="00A91DB4"/>
    <w:rsid w:val="00A97BF9"/>
    <w:rsid w:val="00AA3286"/>
    <w:rsid w:val="00AA4C97"/>
    <w:rsid w:val="00AB0A33"/>
    <w:rsid w:val="00AB31AD"/>
    <w:rsid w:val="00AB66E4"/>
    <w:rsid w:val="00AC423B"/>
    <w:rsid w:val="00AD1511"/>
    <w:rsid w:val="00AE09C6"/>
    <w:rsid w:val="00AE360B"/>
    <w:rsid w:val="00AE36C8"/>
    <w:rsid w:val="00AF4D3E"/>
    <w:rsid w:val="00AF5297"/>
    <w:rsid w:val="00AF6848"/>
    <w:rsid w:val="00AF761F"/>
    <w:rsid w:val="00B00E11"/>
    <w:rsid w:val="00B07023"/>
    <w:rsid w:val="00B1024E"/>
    <w:rsid w:val="00B134AF"/>
    <w:rsid w:val="00B16CF8"/>
    <w:rsid w:val="00B2146A"/>
    <w:rsid w:val="00B21A58"/>
    <w:rsid w:val="00B222F8"/>
    <w:rsid w:val="00B225A2"/>
    <w:rsid w:val="00B22FF5"/>
    <w:rsid w:val="00B23803"/>
    <w:rsid w:val="00B2490F"/>
    <w:rsid w:val="00B3262A"/>
    <w:rsid w:val="00B37A1E"/>
    <w:rsid w:val="00B412A5"/>
    <w:rsid w:val="00B43B99"/>
    <w:rsid w:val="00B519DD"/>
    <w:rsid w:val="00B52778"/>
    <w:rsid w:val="00B52D79"/>
    <w:rsid w:val="00B55126"/>
    <w:rsid w:val="00B60E1C"/>
    <w:rsid w:val="00B63CDC"/>
    <w:rsid w:val="00B64669"/>
    <w:rsid w:val="00B66107"/>
    <w:rsid w:val="00B737A4"/>
    <w:rsid w:val="00B8752C"/>
    <w:rsid w:val="00B92FDE"/>
    <w:rsid w:val="00B9628A"/>
    <w:rsid w:val="00BA209C"/>
    <w:rsid w:val="00BA2251"/>
    <w:rsid w:val="00BA3145"/>
    <w:rsid w:val="00BA6D4F"/>
    <w:rsid w:val="00BB3E00"/>
    <w:rsid w:val="00BB3F30"/>
    <w:rsid w:val="00BB51AC"/>
    <w:rsid w:val="00BB7BF9"/>
    <w:rsid w:val="00BC1492"/>
    <w:rsid w:val="00BC14B0"/>
    <w:rsid w:val="00BC1FBD"/>
    <w:rsid w:val="00BD08EA"/>
    <w:rsid w:val="00BD1E64"/>
    <w:rsid w:val="00BD211D"/>
    <w:rsid w:val="00BD28BF"/>
    <w:rsid w:val="00BE3EED"/>
    <w:rsid w:val="00BF3CC4"/>
    <w:rsid w:val="00BF3FAB"/>
    <w:rsid w:val="00C00AF2"/>
    <w:rsid w:val="00C03B36"/>
    <w:rsid w:val="00C04B5B"/>
    <w:rsid w:val="00C0625C"/>
    <w:rsid w:val="00C062F7"/>
    <w:rsid w:val="00C078B3"/>
    <w:rsid w:val="00C10E8A"/>
    <w:rsid w:val="00C11C3F"/>
    <w:rsid w:val="00C14129"/>
    <w:rsid w:val="00C158EC"/>
    <w:rsid w:val="00C162ED"/>
    <w:rsid w:val="00C20D13"/>
    <w:rsid w:val="00C21850"/>
    <w:rsid w:val="00C259A1"/>
    <w:rsid w:val="00C27A2A"/>
    <w:rsid w:val="00C30CD3"/>
    <w:rsid w:val="00C32602"/>
    <w:rsid w:val="00C34593"/>
    <w:rsid w:val="00C460D6"/>
    <w:rsid w:val="00C47496"/>
    <w:rsid w:val="00C51688"/>
    <w:rsid w:val="00C560EC"/>
    <w:rsid w:val="00C57976"/>
    <w:rsid w:val="00C61966"/>
    <w:rsid w:val="00C638D3"/>
    <w:rsid w:val="00C664CE"/>
    <w:rsid w:val="00C70122"/>
    <w:rsid w:val="00C70D1F"/>
    <w:rsid w:val="00C71B18"/>
    <w:rsid w:val="00C76EFE"/>
    <w:rsid w:val="00C77524"/>
    <w:rsid w:val="00C7756D"/>
    <w:rsid w:val="00C77771"/>
    <w:rsid w:val="00C816F6"/>
    <w:rsid w:val="00C936CD"/>
    <w:rsid w:val="00C93AD9"/>
    <w:rsid w:val="00CA0AFA"/>
    <w:rsid w:val="00CA2708"/>
    <w:rsid w:val="00CA3488"/>
    <w:rsid w:val="00CB0205"/>
    <w:rsid w:val="00CB4C21"/>
    <w:rsid w:val="00CB589F"/>
    <w:rsid w:val="00CB663D"/>
    <w:rsid w:val="00CC510C"/>
    <w:rsid w:val="00CC6B4F"/>
    <w:rsid w:val="00CE242A"/>
    <w:rsid w:val="00CE61CF"/>
    <w:rsid w:val="00CF0546"/>
    <w:rsid w:val="00CF0777"/>
    <w:rsid w:val="00CF19E2"/>
    <w:rsid w:val="00CF2438"/>
    <w:rsid w:val="00CF6C5C"/>
    <w:rsid w:val="00D00EAC"/>
    <w:rsid w:val="00D04FBC"/>
    <w:rsid w:val="00D07637"/>
    <w:rsid w:val="00D14EF8"/>
    <w:rsid w:val="00D168A7"/>
    <w:rsid w:val="00D229EC"/>
    <w:rsid w:val="00D42CC8"/>
    <w:rsid w:val="00D43336"/>
    <w:rsid w:val="00D455F8"/>
    <w:rsid w:val="00D46ECB"/>
    <w:rsid w:val="00D47552"/>
    <w:rsid w:val="00D52E3F"/>
    <w:rsid w:val="00D56124"/>
    <w:rsid w:val="00D70624"/>
    <w:rsid w:val="00D70DC9"/>
    <w:rsid w:val="00D72102"/>
    <w:rsid w:val="00D7290C"/>
    <w:rsid w:val="00D75E2C"/>
    <w:rsid w:val="00D81436"/>
    <w:rsid w:val="00D81E2F"/>
    <w:rsid w:val="00D8454E"/>
    <w:rsid w:val="00D8669C"/>
    <w:rsid w:val="00D86F2D"/>
    <w:rsid w:val="00D87860"/>
    <w:rsid w:val="00D903EB"/>
    <w:rsid w:val="00D93EF2"/>
    <w:rsid w:val="00D94BD7"/>
    <w:rsid w:val="00DA20C0"/>
    <w:rsid w:val="00DB2876"/>
    <w:rsid w:val="00DB49B9"/>
    <w:rsid w:val="00DC0B3E"/>
    <w:rsid w:val="00DD6FB7"/>
    <w:rsid w:val="00DE0ED3"/>
    <w:rsid w:val="00DE2D1B"/>
    <w:rsid w:val="00DF1C52"/>
    <w:rsid w:val="00DF6756"/>
    <w:rsid w:val="00E1429D"/>
    <w:rsid w:val="00E148B6"/>
    <w:rsid w:val="00E16226"/>
    <w:rsid w:val="00E16440"/>
    <w:rsid w:val="00E201B4"/>
    <w:rsid w:val="00E23515"/>
    <w:rsid w:val="00E373D4"/>
    <w:rsid w:val="00E4220D"/>
    <w:rsid w:val="00E4504F"/>
    <w:rsid w:val="00E46578"/>
    <w:rsid w:val="00E46D43"/>
    <w:rsid w:val="00E54417"/>
    <w:rsid w:val="00E60493"/>
    <w:rsid w:val="00E61CDE"/>
    <w:rsid w:val="00E66865"/>
    <w:rsid w:val="00E71323"/>
    <w:rsid w:val="00E7351B"/>
    <w:rsid w:val="00E73F11"/>
    <w:rsid w:val="00E75513"/>
    <w:rsid w:val="00E76C0F"/>
    <w:rsid w:val="00E8037C"/>
    <w:rsid w:val="00E80494"/>
    <w:rsid w:val="00E80D30"/>
    <w:rsid w:val="00E84B06"/>
    <w:rsid w:val="00E8520E"/>
    <w:rsid w:val="00EA197E"/>
    <w:rsid w:val="00EA4D9C"/>
    <w:rsid w:val="00EB1038"/>
    <w:rsid w:val="00EB5DAE"/>
    <w:rsid w:val="00EB7DD1"/>
    <w:rsid w:val="00EC3595"/>
    <w:rsid w:val="00EC5FE8"/>
    <w:rsid w:val="00ED0077"/>
    <w:rsid w:val="00ED09EE"/>
    <w:rsid w:val="00ED2AC1"/>
    <w:rsid w:val="00EE40E7"/>
    <w:rsid w:val="00EF4948"/>
    <w:rsid w:val="00EF670B"/>
    <w:rsid w:val="00EF6892"/>
    <w:rsid w:val="00F041FC"/>
    <w:rsid w:val="00F06DC9"/>
    <w:rsid w:val="00F07526"/>
    <w:rsid w:val="00F160B5"/>
    <w:rsid w:val="00F17649"/>
    <w:rsid w:val="00F2304B"/>
    <w:rsid w:val="00F231EF"/>
    <w:rsid w:val="00F23231"/>
    <w:rsid w:val="00F247CB"/>
    <w:rsid w:val="00F33709"/>
    <w:rsid w:val="00F34422"/>
    <w:rsid w:val="00F349E2"/>
    <w:rsid w:val="00F40D40"/>
    <w:rsid w:val="00F512E5"/>
    <w:rsid w:val="00F6107A"/>
    <w:rsid w:val="00F6796D"/>
    <w:rsid w:val="00F70666"/>
    <w:rsid w:val="00F71577"/>
    <w:rsid w:val="00F71EEE"/>
    <w:rsid w:val="00F85368"/>
    <w:rsid w:val="00F87425"/>
    <w:rsid w:val="00F87697"/>
    <w:rsid w:val="00F91EED"/>
    <w:rsid w:val="00F940E5"/>
    <w:rsid w:val="00F94998"/>
    <w:rsid w:val="00FA1329"/>
    <w:rsid w:val="00FA65F1"/>
    <w:rsid w:val="00FB2860"/>
    <w:rsid w:val="00FB6326"/>
    <w:rsid w:val="00FD2368"/>
    <w:rsid w:val="00FD380F"/>
    <w:rsid w:val="00FE20FF"/>
    <w:rsid w:val="00FF0C4A"/>
    <w:rsid w:val="00FF239C"/>
    <w:rsid w:val="00FF6E3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ABB"/>
  <w15:chartTrackingRefBased/>
  <w15:docId w15:val="{D73BCEA1-7D92-4AB1-8DF3-33F6ECF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62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tyle">
    <w:name w:val="TOC Style"/>
    <w:basedOn w:val="Heading1"/>
    <w:qFormat/>
    <w:rsid w:val="00740C74"/>
    <w:rPr>
      <w:rFonts w:ascii="Arial Narrow" w:hAnsi="Arial Narrow" w:cs="Arial"/>
      <w:b/>
      <w:color w:val="auto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C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5">
    <w:name w:val="Table Grid5"/>
    <w:basedOn w:val="TableNormal"/>
    <w:next w:val="TableGrid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6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62"/>
    <w:rPr>
      <w:rFonts w:ascii="Arial" w:eastAsia="Times New Roman" w:hAnsi="Arial" w:cs="Arial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23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E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8A9D-647B-45BF-921E-D553989B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Peter Masters</cp:lastModifiedBy>
  <cp:revision>12</cp:revision>
  <dcterms:created xsi:type="dcterms:W3CDTF">2019-01-14T04:58:00Z</dcterms:created>
  <dcterms:modified xsi:type="dcterms:W3CDTF">2019-01-21T22:47:00Z</dcterms:modified>
</cp:coreProperties>
</file>