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2E35" w14:textId="77777777" w:rsidR="008B0B64" w:rsidRDefault="008B0B64"/>
    <w:p w14:paraId="38885BEE" w14:textId="77777777" w:rsidR="0070064D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FF6600"/>
          <w:sz w:val="52"/>
          <w:szCs w:val="52"/>
        </w:rPr>
      </w:pPr>
    </w:p>
    <w:p w14:paraId="623B8789" w14:textId="77777777" w:rsidR="0070064D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FF6600"/>
          <w:sz w:val="52"/>
          <w:szCs w:val="52"/>
        </w:rPr>
      </w:pPr>
    </w:p>
    <w:p w14:paraId="20CB76F3" w14:textId="77777777" w:rsidR="0070064D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FF6600"/>
          <w:sz w:val="52"/>
          <w:szCs w:val="52"/>
        </w:rPr>
      </w:pPr>
    </w:p>
    <w:p w14:paraId="389F1C7F" w14:textId="583C7C12" w:rsidR="004E1C70" w:rsidRPr="0044065C" w:rsidRDefault="00FA12E6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FF6600"/>
          <w:sz w:val="52"/>
          <w:szCs w:val="52"/>
        </w:rPr>
      </w:pPr>
      <w:r>
        <w:rPr>
          <w:rFonts w:ascii="Arial" w:hAnsi="Arial" w:cs="Arial"/>
          <w:color w:val="FF6600"/>
          <w:sz w:val="52"/>
          <w:szCs w:val="52"/>
        </w:rPr>
        <w:t>Bullying &amp; Harassment</w:t>
      </w:r>
      <w:r w:rsidR="004E1C70">
        <w:rPr>
          <w:rFonts w:ascii="Arial" w:hAnsi="Arial" w:cs="Arial"/>
          <w:color w:val="FF6600"/>
          <w:sz w:val="52"/>
          <w:szCs w:val="52"/>
        </w:rPr>
        <w:t xml:space="preserve"> Procedure</w:t>
      </w:r>
      <w:r w:rsidR="00DA0365">
        <w:rPr>
          <w:rFonts w:ascii="Arial" w:hAnsi="Arial" w:cs="Arial"/>
          <w:color w:val="FF6600"/>
          <w:sz w:val="52"/>
          <w:szCs w:val="52"/>
        </w:rPr>
        <w:t xml:space="preserve"> (21</w:t>
      </w:r>
      <w:r w:rsidR="004E1C70">
        <w:rPr>
          <w:rFonts w:ascii="Arial" w:hAnsi="Arial" w:cs="Arial"/>
          <w:color w:val="FF6600"/>
          <w:sz w:val="52"/>
          <w:szCs w:val="52"/>
        </w:rPr>
        <w:t xml:space="preserve">) </w:t>
      </w:r>
      <w:r w:rsidR="00DA0365" w:rsidRPr="0044065C">
        <w:rPr>
          <w:rFonts w:ascii="Arial" w:hAnsi="Arial" w:cs="Arial"/>
          <w:color w:val="FF6600"/>
          <w:sz w:val="52"/>
          <w:szCs w:val="52"/>
        </w:rPr>
        <w:t>V</w:t>
      </w:r>
      <w:r w:rsidR="001658D8">
        <w:rPr>
          <w:rFonts w:ascii="Arial" w:hAnsi="Arial" w:cs="Arial"/>
          <w:color w:val="FF6600"/>
          <w:sz w:val="52"/>
          <w:szCs w:val="52"/>
        </w:rPr>
        <w:t>2</w:t>
      </w:r>
    </w:p>
    <w:p w14:paraId="4B151445" w14:textId="77777777" w:rsidR="0070064D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FF6600"/>
          <w:sz w:val="44"/>
          <w:szCs w:val="44"/>
        </w:rPr>
      </w:pPr>
    </w:p>
    <w:p w14:paraId="02B776A2" w14:textId="77777777" w:rsidR="0070064D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FF6600"/>
          <w:sz w:val="44"/>
          <w:szCs w:val="44"/>
        </w:rPr>
      </w:pPr>
    </w:p>
    <w:p w14:paraId="534ED6FA" w14:textId="77777777" w:rsidR="0070064D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FF6600"/>
          <w:sz w:val="44"/>
          <w:szCs w:val="44"/>
        </w:rPr>
      </w:pPr>
    </w:p>
    <w:p w14:paraId="129A2285" w14:textId="77777777" w:rsidR="0070064D" w:rsidRPr="003238D4" w:rsidRDefault="0070064D" w:rsidP="003238D4">
      <w:pPr>
        <w:tabs>
          <w:tab w:val="center" w:pos="4320"/>
          <w:tab w:val="right" w:pos="8640"/>
        </w:tabs>
        <w:spacing w:after="240"/>
        <w:rPr>
          <w:rFonts w:ascii="Arial" w:hAnsi="Arial" w:cs="Arial"/>
          <w:b/>
          <w:sz w:val="24"/>
          <w:szCs w:val="24"/>
        </w:rPr>
      </w:pPr>
      <w:r w:rsidRPr="003238D4">
        <w:rPr>
          <w:rFonts w:ascii="Arial" w:hAnsi="Arial" w:cs="Arial"/>
          <w:b/>
          <w:sz w:val="24"/>
          <w:szCs w:val="24"/>
        </w:rPr>
        <w:t>Version Control &amp; Change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559"/>
        <w:gridCol w:w="2977"/>
        <w:gridCol w:w="1366"/>
      </w:tblGrid>
      <w:tr w:rsidR="0070064D" w14:paraId="2DB1EBF6" w14:textId="77777777" w:rsidTr="0070064D">
        <w:tc>
          <w:tcPr>
            <w:tcW w:w="988" w:type="dxa"/>
            <w:vAlign w:val="center"/>
          </w:tcPr>
          <w:p w14:paraId="3E2B0FCC" w14:textId="77777777" w:rsidR="0070064D" w:rsidRPr="0070064D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ascii="Arial" w:hAnsi="Arial"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2126" w:type="dxa"/>
            <w:vAlign w:val="center"/>
          </w:tcPr>
          <w:p w14:paraId="1509E9E4" w14:textId="77777777" w:rsidR="0070064D" w:rsidRPr="0070064D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Approved by</w:t>
            </w:r>
          </w:p>
        </w:tc>
        <w:tc>
          <w:tcPr>
            <w:tcW w:w="1559" w:type="dxa"/>
            <w:vAlign w:val="center"/>
          </w:tcPr>
          <w:p w14:paraId="385E8F12" w14:textId="77777777" w:rsidR="0070064D" w:rsidRPr="0070064D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Approved Date</w:t>
            </w:r>
          </w:p>
        </w:tc>
        <w:tc>
          <w:tcPr>
            <w:tcW w:w="2977" w:type="dxa"/>
            <w:vAlign w:val="center"/>
          </w:tcPr>
          <w:p w14:paraId="1EA364B5" w14:textId="77777777" w:rsidR="0070064D" w:rsidRPr="0070064D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 for Development of Review</w:t>
            </w:r>
          </w:p>
        </w:tc>
        <w:tc>
          <w:tcPr>
            <w:tcW w:w="1366" w:type="dxa"/>
            <w:vAlign w:val="center"/>
          </w:tcPr>
          <w:p w14:paraId="7D5B2BF2" w14:textId="77777777" w:rsidR="0070064D" w:rsidRPr="0070064D" w:rsidRDefault="003238D4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Next </w:t>
            </w:r>
            <w:r w:rsidR="0070064D" w:rsidRPr="0070064D">
              <w:rPr>
                <w:rFonts w:ascii="Arial" w:hAnsi="Arial" w:cs="Arial"/>
                <w:b/>
                <w:sz w:val="20"/>
                <w:szCs w:val="20"/>
                <w:lang w:val="en-GB"/>
              </w:rPr>
              <w:t>Review Date</w:t>
            </w:r>
          </w:p>
        </w:tc>
      </w:tr>
      <w:tr w:rsidR="0070064D" w14:paraId="15476B50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1DB5F863" w14:textId="77777777" w:rsidR="0070064D" w:rsidRPr="0070064D" w:rsidRDefault="00DA0365" w:rsidP="0017242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V1</w:t>
            </w:r>
          </w:p>
        </w:tc>
        <w:tc>
          <w:tcPr>
            <w:tcW w:w="2126" w:type="dxa"/>
            <w:vAlign w:val="center"/>
          </w:tcPr>
          <w:p w14:paraId="6906B465" w14:textId="77777777" w:rsidR="0070064D" w:rsidRPr="0070064D" w:rsidRDefault="00DA0365" w:rsidP="00E477A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Executive Manager CSHWSA</w:t>
            </w:r>
          </w:p>
        </w:tc>
        <w:tc>
          <w:tcPr>
            <w:tcW w:w="1559" w:type="dxa"/>
            <w:vAlign w:val="center"/>
          </w:tcPr>
          <w:p w14:paraId="41437D01" w14:textId="77777777" w:rsidR="0070064D" w:rsidRPr="0070064D" w:rsidRDefault="00E477AA" w:rsidP="0017242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22/01/2021</w:t>
            </w:r>
          </w:p>
        </w:tc>
        <w:tc>
          <w:tcPr>
            <w:tcW w:w="2977" w:type="dxa"/>
            <w:vAlign w:val="center"/>
          </w:tcPr>
          <w:p w14:paraId="551F61EF" w14:textId="77777777" w:rsidR="0070064D" w:rsidRPr="0070064D" w:rsidRDefault="00DA0365" w:rsidP="001724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Procedure required</w:t>
            </w:r>
          </w:p>
        </w:tc>
        <w:tc>
          <w:tcPr>
            <w:tcW w:w="1366" w:type="dxa"/>
            <w:vAlign w:val="center"/>
          </w:tcPr>
          <w:p w14:paraId="2FFCEE1C" w14:textId="77777777" w:rsidR="0070064D" w:rsidRPr="0070064D" w:rsidRDefault="00E477AA" w:rsidP="0017242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2022</w:t>
            </w:r>
          </w:p>
        </w:tc>
      </w:tr>
      <w:tr w:rsidR="001658D8" w14:paraId="22097326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6FEC85F2" w14:textId="77777777" w:rsidR="001658D8" w:rsidRPr="0070064D" w:rsidRDefault="001658D8" w:rsidP="001658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V2</w:t>
            </w:r>
          </w:p>
        </w:tc>
        <w:tc>
          <w:tcPr>
            <w:tcW w:w="2126" w:type="dxa"/>
            <w:vAlign w:val="center"/>
          </w:tcPr>
          <w:p w14:paraId="5FDB835B" w14:textId="77777777" w:rsidR="001658D8" w:rsidRPr="0070064D" w:rsidRDefault="001658D8" w:rsidP="001658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Executive Manager CSHWSA</w:t>
            </w:r>
          </w:p>
        </w:tc>
        <w:tc>
          <w:tcPr>
            <w:tcW w:w="1559" w:type="dxa"/>
            <w:vAlign w:val="center"/>
          </w:tcPr>
          <w:p w14:paraId="034B3060" w14:textId="77777777" w:rsidR="001658D8" w:rsidRPr="0070064D" w:rsidRDefault="001658D8" w:rsidP="001658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768B7F14" w14:textId="06A5E0FF" w:rsidR="001658D8" w:rsidRPr="0070064D" w:rsidRDefault="00D807C7" w:rsidP="001658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Reviewed content and reformatted</w:t>
            </w:r>
          </w:p>
        </w:tc>
        <w:tc>
          <w:tcPr>
            <w:tcW w:w="1366" w:type="dxa"/>
            <w:vAlign w:val="center"/>
          </w:tcPr>
          <w:p w14:paraId="609728EA" w14:textId="77777777" w:rsidR="001658D8" w:rsidRPr="0070064D" w:rsidRDefault="001658D8" w:rsidP="001658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2025</w:t>
            </w:r>
          </w:p>
        </w:tc>
      </w:tr>
      <w:tr w:rsidR="001658D8" w14:paraId="2F1F9035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5F933FFC" w14:textId="77777777" w:rsidR="001658D8" w:rsidRPr="0070064D" w:rsidRDefault="001658D8" w:rsidP="001658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F0A95D1" w14:textId="77777777" w:rsidR="001658D8" w:rsidRPr="0070064D" w:rsidRDefault="001658D8" w:rsidP="001658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42242A6" w14:textId="77777777" w:rsidR="001658D8" w:rsidRPr="0070064D" w:rsidRDefault="001658D8" w:rsidP="001658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7163BE55" w14:textId="77777777" w:rsidR="001658D8" w:rsidRPr="0070064D" w:rsidRDefault="001658D8" w:rsidP="001658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66" w:type="dxa"/>
            <w:vAlign w:val="center"/>
          </w:tcPr>
          <w:p w14:paraId="1A89AF87" w14:textId="77777777" w:rsidR="001658D8" w:rsidRPr="0070064D" w:rsidRDefault="001658D8" w:rsidP="001658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58D8" w14:paraId="611EDC81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68EC03A3" w14:textId="77777777" w:rsidR="001658D8" w:rsidRPr="0070064D" w:rsidRDefault="001658D8" w:rsidP="001658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15481DF" w14:textId="77777777" w:rsidR="001658D8" w:rsidRPr="0070064D" w:rsidRDefault="001658D8" w:rsidP="001658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20712F0" w14:textId="77777777" w:rsidR="001658D8" w:rsidRPr="0070064D" w:rsidRDefault="001658D8" w:rsidP="001658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446E739A" w14:textId="77777777" w:rsidR="001658D8" w:rsidRPr="0070064D" w:rsidRDefault="001658D8" w:rsidP="001658D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66" w:type="dxa"/>
            <w:vAlign w:val="center"/>
          </w:tcPr>
          <w:p w14:paraId="5C55C2CB" w14:textId="77777777" w:rsidR="001658D8" w:rsidRPr="0070064D" w:rsidRDefault="001658D8" w:rsidP="001658D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7FE3D3E" w14:textId="77777777" w:rsidR="0070064D" w:rsidRPr="003E57FC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b/>
          <w:color w:val="FF6600"/>
          <w:sz w:val="32"/>
          <w:szCs w:val="20"/>
          <w:lang w:val="en-GB"/>
        </w:rPr>
      </w:pPr>
    </w:p>
    <w:tbl>
      <w:tblPr>
        <w:tblStyle w:val="TableGrid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3372"/>
        <w:gridCol w:w="767"/>
        <w:gridCol w:w="2332"/>
      </w:tblGrid>
      <w:tr w:rsidR="00E477AA" w:rsidRPr="00E477AA" w14:paraId="3B48139C" w14:textId="77777777" w:rsidTr="00D71B50">
        <w:trPr>
          <w:trHeight w:val="754"/>
        </w:trPr>
        <w:tc>
          <w:tcPr>
            <w:tcW w:w="2952" w:type="dxa"/>
            <w:hideMark/>
          </w:tcPr>
          <w:p w14:paraId="6F806171" w14:textId="77777777" w:rsidR="00E477AA" w:rsidRPr="00E477AA" w:rsidRDefault="00E477AA" w:rsidP="00E477AA">
            <w:pPr>
              <w:spacing w:before="120" w:after="120"/>
              <w:rPr>
                <w:rFonts w:ascii="Arial" w:hAnsi="Arial"/>
                <w:b/>
              </w:rPr>
            </w:pPr>
            <w:r w:rsidRPr="00E477AA">
              <w:rPr>
                <w:rFonts w:ascii="Arial" w:hAnsi="Arial"/>
                <w:b/>
              </w:rPr>
              <w:t xml:space="preserve">Approved for Publication: </w:t>
            </w:r>
          </w:p>
        </w:tc>
        <w:tc>
          <w:tcPr>
            <w:tcW w:w="3374" w:type="dxa"/>
          </w:tcPr>
          <w:p w14:paraId="2B2717E0" w14:textId="77777777" w:rsidR="00E477AA" w:rsidRPr="00E477AA" w:rsidRDefault="00E477AA" w:rsidP="00E477AA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762" w:type="dxa"/>
            <w:hideMark/>
          </w:tcPr>
          <w:p w14:paraId="15CBAE8A" w14:textId="77777777" w:rsidR="00E477AA" w:rsidRPr="00E477AA" w:rsidRDefault="00E477AA" w:rsidP="00E477AA">
            <w:pPr>
              <w:spacing w:before="120" w:after="120"/>
              <w:rPr>
                <w:rFonts w:ascii="Arial" w:hAnsi="Arial"/>
                <w:b/>
              </w:rPr>
            </w:pPr>
            <w:r w:rsidRPr="00E477AA">
              <w:rPr>
                <w:rFonts w:ascii="Arial" w:hAnsi="Arial"/>
                <w:b/>
              </w:rPr>
              <w:t>Date:</w:t>
            </w:r>
          </w:p>
        </w:tc>
        <w:tc>
          <w:tcPr>
            <w:tcW w:w="2334" w:type="dxa"/>
            <w:hideMark/>
          </w:tcPr>
          <w:p w14:paraId="41F3A685" w14:textId="628B3ED7" w:rsidR="00E477AA" w:rsidRPr="00E477AA" w:rsidRDefault="00E477AA" w:rsidP="00E477AA">
            <w:pPr>
              <w:spacing w:before="120" w:after="120"/>
              <w:rPr>
                <w:rFonts w:ascii="Arial" w:hAnsi="Arial"/>
              </w:rPr>
            </w:pPr>
          </w:p>
        </w:tc>
      </w:tr>
      <w:tr w:rsidR="00E477AA" w:rsidRPr="00E477AA" w14:paraId="48F8F538" w14:textId="77777777" w:rsidTr="00D71B50">
        <w:trPr>
          <w:trHeight w:val="502"/>
        </w:trPr>
        <w:tc>
          <w:tcPr>
            <w:tcW w:w="2952" w:type="dxa"/>
          </w:tcPr>
          <w:p w14:paraId="57251299" w14:textId="77777777" w:rsidR="00E477AA" w:rsidRPr="00E477AA" w:rsidRDefault="00E477AA" w:rsidP="00E477AA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3374" w:type="dxa"/>
            <w:hideMark/>
          </w:tcPr>
          <w:p w14:paraId="444769FF" w14:textId="77777777" w:rsidR="00E477AA" w:rsidRPr="00E477AA" w:rsidRDefault="00E477AA" w:rsidP="00E477AA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E477AA">
              <w:rPr>
                <w:rFonts w:ascii="Arial" w:hAnsi="Arial"/>
                <w:b/>
              </w:rPr>
              <w:t>Debbie Nation</w:t>
            </w:r>
          </w:p>
        </w:tc>
        <w:tc>
          <w:tcPr>
            <w:tcW w:w="762" w:type="dxa"/>
          </w:tcPr>
          <w:p w14:paraId="02BA437E" w14:textId="77777777" w:rsidR="00E477AA" w:rsidRPr="00E477AA" w:rsidRDefault="00E477AA" w:rsidP="00E477AA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334" w:type="dxa"/>
          </w:tcPr>
          <w:p w14:paraId="3EBBE2CF" w14:textId="77777777" w:rsidR="00E477AA" w:rsidRPr="00E477AA" w:rsidRDefault="00E477AA" w:rsidP="00E477AA">
            <w:pPr>
              <w:spacing w:before="120" w:after="120"/>
              <w:rPr>
                <w:rFonts w:ascii="Arial" w:hAnsi="Arial"/>
                <w:b/>
              </w:rPr>
            </w:pPr>
          </w:p>
        </w:tc>
      </w:tr>
    </w:tbl>
    <w:p w14:paraId="11E443E8" w14:textId="77777777" w:rsidR="004E1C70" w:rsidRDefault="004E1C70" w:rsidP="003238D4"/>
    <w:p w14:paraId="7D0DD798" w14:textId="77777777" w:rsidR="0044065C" w:rsidRDefault="0044065C">
      <w:r>
        <w:rPr>
          <w:b/>
        </w:rPr>
        <w:br w:type="page"/>
      </w:r>
    </w:p>
    <w:sdt>
      <w:sdtPr>
        <w:rPr>
          <w:b w:val="0"/>
          <w:lang w:val="en-AU"/>
        </w:rPr>
        <w:id w:val="-176591359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714EAE4" w14:textId="77777777" w:rsidR="00F70643" w:rsidRPr="00987768" w:rsidRDefault="00F70643" w:rsidP="00F70643">
          <w:pPr>
            <w:pStyle w:val="TOCHeading"/>
            <w:numPr>
              <w:ilvl w:val="0"/>
              <w:numId w:val="0"/>
            </w:numPr>
            <w:ind w:left="360" w:hanging="360"/>
            <w:rPr>
              <w:caps/>
            </w:rPr>
          </w:pPr>
          <w:r w:rsidRPr="00987768">
            <w:rPr>
              <w:caps/>
            </w:rPr>
            <w:t>Contents</w:t>
          </w:r>
        </w:p>
        <w:p w14:paraId="66F94C30" w14:textId="6D644E04" w:rsidR="00987768" w:rsidRPr="00987768" w:rsidRDefault="00F70643">
          <w:pPr>
            <w:pStyle w:val="TOC1"/>
            <w:tabs>
              <w:tab w:val="left" w:pos="426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r w:rsidRPr="00987768">
            <w:rPr>
              <w:rFonts w:ascii="Arial" w:hAnsi="Arial" w:cs="Arial"/>
            </w:rPr>
            <w:fldChar w:fldCharType="begin"/>
          </w:r>
          <w:r w:rsidRPr="00987768">
            <w:rPr>
              <w:rFonts w:ascii="Arial" w:hAnsi="Arial" w:cs="Arial"/>
            </w:rPr>
            <w:instrText xml:space="preserve"> TOC \o "1-3" \h \z \u </w:instrText>
          </w:r>
          <w:r w:rsidRPr="00987768">
            <w:rPr>
              <w:rFonts w:ascii="Arial" w:hAnsi="Arial" w:cs="Arial"/>
            </w:rPr>
            <w:fldChar w:fldCharType="separate"/>
          </w:r>
          <w:hyperlink w:anchor="_Toc103673772" w:history="1">
            <w:r w:rsidR="00987768" w:rsidRPr="00987768">
              <w:rPr>
                <w:rStyle w:val="Hyperlink"/>
                <w:rFonts w:ascii="Arial" w:hAnsi="Arial" w:cs="Arial"/>
                <w:noProof/>
              </w:rPr>
              <w:t>1.</w:t>
            </w:r>
            <w:r w:rsidR="00987768"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="00987768" w:rsidRPr="00987768">
              <w:rPr>
                <w:rStyle w:val="Hyperlink"/>
                <w:rFonts w:ascii="Arial" w:hAnsi="Arial" w:cs="Arial"/>
                <w:noProof/>
              </w:rPr>
              <w:t>PURPOSE</w:t>
            </w:r>
            <w:r w:rsidR="00987768" w:rsidRPr="00987768">
              <w:rPr>
                <w:rFonts w:ascii="Arial" w:hAnsi="Arial" w:cs="Arial"/>
                <w:noProof/>
                <w:webHidden/>
              </w:rPr>
              <w:tab/>
            </w:r>
            <w:r w:rsidR="00987768"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87768" w:rsidRPr="00987768">
              <w:rPr>
                <w:rFonts w:ascii="Arial" w:hAnsi="Arial" w:cs="Arial"/>
                <w:noProof/>
                <w:webHidden/>
              </w:rPr>
              <w:instrText xml:space="preserve"> PAGEREF _Toc103673772 \h </w:instrText>
            </w:r>
            <w:r w:rsidR="00987768" w:rsidRPr="00987768">
              <w:rPr>
                <w:rFonts w:ascii="Arial" w:hAnsi="Arial" w:cs="Arial"/>
                <w:noProof/>
                <w:webHidden/>
              </w:rPr>
            </w:r>
            <w:r w:rsidR="00987768"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3</w:t>
            </w:r>
            <w:r w:rsidR="00987768"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ECB0CC" w14:textId="17D329D1" w:rsidR="00987768" w:rsidRPr="00987768" w:rsidRDefault="00987768">
          <w:pPr>
            <w:pStyle w:val="TOC1"/>
            <w:tabs>
              <w:tab w:val="left" w:pos="426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103673773" w:history="1">
            <w:r w:rsidRPr="00987768">
              <w:rPr>
                <w:rStyle w:val="Hyperlink"/>
                <w:rFonts w:ascii="Arial" w:hAnsi="Arial" w:cs="Arial"/>
                <w:noProof/>
              </w:rPr>
              <w:t>2.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SCOPE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_Toc103673773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3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47300B" w14:textId="36694640" w:rsidR="00987768" w:rsidRPr="00987768" w:rsidRDefault="00987768">
          <w:pPr>
            <w:pStyle w:val="TOC1"/>
            <w:tabs>
              <w:tab w:val="left" w:pos="426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103673774" w:history="1">
            <w:r w:rsidRPr="00987768">
              <w:rPr>
                <w:rStyle w:val="Hyperlink"/>
                <w:rFonts w:ascii="Arial" w:hAnsi="Arial" w:cs="Arial"/>
                <w:noProof/>
              </w:rPr>
              <w:t>3.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DEFINITIONS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_Toc103673774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3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0AD6BC" w14:textId="728424D3" w:rsidR="00987768" w:rsidRPr="00987768" w:rsidRDefault="00987768">
          <w:pPr>
            <w:pStyle w:val="TOC2"/>
            <w:rPr>
              <w:rFonts w:ascii="Arial" w:eastAsiaTheme="minorEastAsia" w:hAnsi="Arial" w:cs="Arial"/>
              <w:noProof/>
              <w:lang w:eastAsia="en-AU"/>
            </w:rPr>
          </w:pPr>
          <w:hyperlink w:anchor="_Toc103673775" w:history="1">
            <w:r w:rsidRPr="00987768">
              <w:rPr>
                <w:rStyle w:val="Hyperlink"/>
                <w:rFonts w:ascii="Arial" w:hAnsi="Arial" w:cs="Arial"/>
                <w:noProof/>
              </w:rPr>
              <w:t>3.1.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Information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_Toc103673775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3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DCC1BD" w14:textId="6F1CC270" w:rsidR="00987768" w:rsidRPr="00987768" w:rsidRDefault="00987768">
          <w:pPr>
            <w:pStyle w:val="TOC1"/>
            <w:tabs>
              <w:tab w:val="left" w:pos="426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103673776" w:history="1">
            <w:r w:rsidRPr="00987768">
              <w:rPr>
                <w:rStyle w:val="Hyperlink"/>
                <w:rFonts w:ascii="Arial" w:hAnsi="Arial" w:cs="Arial"/>
                <w:noProof/>
              </w:rPr>
              <w:t>4.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RESPONSIBILITIES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_Toc103673776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3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014886" w14:textId="18568CF4" w:rsidR="00987768" w:rsidRPr="00987768" w:rsidRDefault="00987768">
          <w:pPr>
            <w:pStyle w:val="TOC1"/>
            <w:tabs>
              <w:tab w:val="left" w:pos="426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103673777" w:history="1">
            <w:r w:rsidRPr="00987768">
              <w:rPr>
                <w:rStyle w:val="Hyperlink"/>
                <w:rFonts w:ascii="Arial" w:hAnsi="Arial" w:cs="Arial"/>
                <w:noProof/>
              </w:rPr>
              <w:t>5.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PROCEDURE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_Toc103673777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4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4826DA" w14:textId="4310FD0B" w:rsidR="00987768" w:rsidRPr="00987768" w:rsidRDefault="00987768">
          <w:pPr>
            <w:pStyle w:val="TOC2"/>
            <w:rPr>
              <w:rFonts w:ascii="Arial" w:eastAsiaTheme="minorEastAsia" w:hAnsi="Arial" w:cs="Arial"/>
              <w:noProof/>
              <w:lang w:eastAsia="en-AU"/>
            </w:rPr>
          </w:pPr>
          <w:hyperlink w:anchor="_Toc103673778" w:history="1">
            <w:r w:rsidRPr="00987768">
              <w:rPr>
                <w:rStyle w:val="Hyperlink"/>
                <w:rFonts w:ascii="Arial" w:hAnsi="Arial" w:cs="Arial"/>
                <w:noProof/>
              </w:rPr>
              <w:t>5.1.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Identification of Bullying &amp; Harassment Hazards / Risks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_Toc103673778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4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0761CB" w14:textId="0B149ACF" w:rsidR="00987768" w:rsidRPr="00987768" w:rsidRDefault="00987768">
          <w:pPr>
            <w:pStyle w:val="TOC2"/>
            <w:rPr>
              <w:rFonts w:ascii="Arial" w:eastAsiaTheme="minorEastAsia" w:hAnsi="Arial" w:cs="Arial"/>
              <w:noProof/>
              <w:lang w:eastAsia="en-AU"/>
            </w:rPr>
          </w:pPr>
          <w:hyperlink w:anchor="_Toc103673779" w:history="1">
            <w:r w:rsidRPr="00987768">
              <w:rPr>
                <w:rStyle w:val="Hyperlink"/>
                <w:rFonts w:ascii="Arial" w:hAnsi="Arial" w:cs="Arial"/>
                <w:noProof/>
              </w:rPr>
              <w:t>5.2.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Assessment of Risk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_Toc103673779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4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3F9878" w14:textId="44EA0F85" w:rsidR="00987768" w:rsidRPr="00987768" w:rsidRDefault="00987768">
          <w:pPr>
            <w:pStyle w:val="TOC2"/>
            <w:rPr>
              <w:rFonts w:ascii="Arial" w:eastAsiaTheme="minorEastAsia" w:hAnsi="Arial" w:cs="Arial"/>
              <w:noProof/>
              <w:lang w:eastAsia="en-AU"/>
            </w:rPr>
          </w:pPr>
          <w:hyperlink w:anchor="_Toc103673780" w:history="1">
            <w:r w:rsidRPr="00987768">
              <w:rPr>
                <w:rStyle w:val="Hyperlink"/>
                <w:rFonts w:ascii="Arial" w:hAnsi="Arial" w:cs="Arial"/>
                <w:noProof/>
              </w:rPr>
              <w:t>5.3.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Risk Control Measures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_Toc103673780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4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C8E07B" w14:textId="70196175" w:rsidR="00987768" w:rsidRPr="00987768" w:rsidRDefault="00987768">
          <w:pPr>
            <w:pStyle w:val="TOC2"/>
            <w:rPr>
              <w:rFonts w:ascii="Arial" w:eastAsiaTheme="minorEastAsia" w:hAnsi="Arial" w:cs="Arial"/>
              <w:noProof/>
              <w:lang w:eastAsia="en-AU"/>
            </w:rPr>
          </w:pPr>
          <w:hyperlink w:anchor="_Toc103673781" w:history="1">
            <w:r w:rsidRPr="00987768">
              <w:rPr>
                <w:rStyle w:val="Hyperlink"/>
                <w:rFonts w:ascii="Arial" w:hAnsi="Arial" w:cs="Arial"/>
                <w:noProof/>
              </w:rPr>
              <w:t>5.4.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Bullying and Harassment Reporting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_Toc103673781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5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587A97" w14:textId="18D7B218" w:rsidR="00987768" w:rsidRPr="00987768" w:rsidRDefault="00987768">
          <w:pPr>
            <w:pStyle w:val="TOC2"/>
            <w:rPr>
              <w:rFonts w:ascii="Arial" w:eastAsiaTheme="minorEastAsia" w:hAnsi="Arial" w:cs="Arial"/>
              <w:noProof/>
              <w:lang w:eastAsia="en-AU"/>
            </w:rPr>
          </w:pPr>
          <w:hyperlink w:anchor="_Toc103673782" w:history="1">
            <w:r w:rsidRPr="00987768">
              <w:rPr>
                <w:rStyle w:val="Hyperlink"/>
                <w:rFonts w:ascii="Arial" w:hAnsi="Arial" w:cs="Arial"/>
                <w:noProof/>
              </w:rPr>
              <w:t>5.5.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Bullying and Harassment Investigations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_Toc103673782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5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63DDA0" w14:textId="6D149F68" w:rsidR="00987768" w:rsidRPr="00987768" w:rsidRDefault="00987768">
          <w:pPr>
            <w:pStyle w:val="TOC2"/>
            <w:rPr>
              <w:rFonts w:ascii="Arial" w:eastAsiaTheme="minorEastAsia" w:hAnsi="Arial" w:cs="Arial"/>
              <w:noProof/>
              <w:lang w:eastAsia="en-AU"/>
            </w:rPr>
          </w:pPr>
          <w:hyperlink w:anchor="_Toc103673783" w:history="1">
            <w:r w:rsidRPr="00987768">
              <w:rPr>
                <w:rStyle w:val="Hyperlink"/>
                <w:rFonts w:ascii="Arial" w:hAnsi="Arial" w:cs="Arial"/>
                <w:noProof/>
              </w:rPr>
              <w:t>5.6.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Training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_Toc103673783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5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3A3D1C" w14:textId="2EF6935F" w:rsidR="00987768" w:rsidRPr="00987768" w:rsidRDefault="00987768">
          <w:pPr>
            <w:pStyle w:val="TOC2"/>
            <w:rPr>
              <w:rFonts w:ascii="Arial" w:eastAsiaTheme="minorEastAsia" w:hAnsi="Arial" w:cs="Arial"/>
              <w:noProof/>
              <w:lang w:eastAsia="en-AU"/>
            </w:rPr>
          </w:pPr>
          <w:hyperlink w:anchor="_Toc103673784" w:history="1">
            <w:r w:rsidRPr="00987768">
              <w:rPr>
                <w:rStyle w:val="Hyperlink"/>
                <w:rFonts w:ascii="Arial" w:hAnsi="Arial" w:cs="Arial"/>
                <w:noProof/>
              </w:rPr>
              <w:t>5.7.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Records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_Toc103673784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5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4729ED" w14:textId="0E7B6CB6" w:rsidR="00987768" w:rsidRPr="00987768" w:rsidRDefault="00987768">
          <w:pPr>
            <w:pStyle w:val="TOC2"/>
            <w:rPr>
              <w:rFonts w:ascii="Arial" w:eastAsiaTheme="minorEastAsia" w:hAnsi="Arial" w:cs="Arial"/>
              <w:noProof/>
              <w:lang w:eastAsia="en-AU"/>
            </w:rPr>
          </w:pPr>
          <w:hyperlink w:anchor="_Toc103673785" w:history="1">
            <w:r w:rsidRPr="00987768">
              <w:rPr>
                <w:rStyle w:val="Hyperlink"/>
                <w:rFonts w:ascii="Arial" w:hAnsi="Arial" w:cs="Arial"/>
                <w:noProof/>
              </w:rPr>
              <w:t>5.8.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Review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_Toc103673785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5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2018E7" w14:textId="779C4CE6" w:rsidR="00987768" w:rsidRPr="00987768" w:rsidRDefault="00987768">
          <w:pPr>
            <w:pStyle w:val="TOC1"/>
            <w:tabs>
              <w:tab w:val="left" w:pos="426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103673786" w:history="1">
            <w:r w:rsidRPr="00987768">
              <w:rPr>
                <w:rStyle w:val="Hyperlink"/>
                <w:rFonts w:ascii="Arial" w:hAnsi="Arial" w:cs="Arial"/>
                <w:noProof/>
              </w:rPr>
              <w:t>6.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RELATED SYSTEM DOCUMENTS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_Toc103673786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6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682B6A" w14:textId="07A0F9EA" w:rsidR="00987768" w:rsidRPr="00987768" w:rsidRDefault="00987768">
          <w:pPr>
            <w:pStyle w:val="TOC2"/>
            <w:rPr>
              <w:rFonts w:ascii="Arial" w:eastAsiaTheme="minorEastAsia" w:hAnsi="Arial" w:cs="Arial"/>
              <w:noProof/>
              <w:lang w:eastAsia="en-AU"/>
            </w:rPr>
          </w:pPr>
          <w:hyperlink w:anchor="_Toc103673787" w:history="1">
            <w:r w:rsidRPr="00987768">
              <w:rPr>
                <w:rStyle w:val="Hyperlink"/>
                <w:rFonts w:ascii="Arial" w:hAnsi="Arial" w:cs="Arial"/>
                <w:noProof/>
              </w:rPr>
              <w:t>6.1.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Policies &amp; Procedures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_Toc103673787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6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563EA6" w14:textId="319B9B42" w:rsidR="00987768" w:rsidRPr="00987768" w:rsidRDefault="00987768">
          <w:pPr>
            <w:pStyle w:val="TOC2"/>
            <w:rPr>
              <w:rFonts w:ascii="Arial" w:eastAsiaTheme="minorEastAsia" w:hAnsi="Arial" w:cs="Arial"/>
              <w:noProof/>
              <w:lang w:eastAsia="en-AU"/>
            </w:rPr>
          </w:pPr>
          <w:hyperlink w:anchor="_Toc103673788" w:history="1">
            <w:r w:rsidRPr="00987768">
              <w:rPr>
                <w:rStyle w:val="Hyperlink"/>
                <w:rFonts w:ascii="Arial" w:hAnsi="Arial" w:cs="Arial"/>
                <w:noProof/>
              </w:rPr>
              <w:t>6.2.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Forms &amp; Tools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_Toc103673788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6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AE4889" w14:textId="4C3DDDEA" w:rsidR="00987768" w:rsidRPr="00987768" w:rsidRDefault="00987768">
          <w:pPr>
            <w:pStyle w:val="TOC1"/>
            <w:tabs>
              <w:tab w:val="left" w:pos="426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103673789" w:history="1">
            <w:r w:rsidRPr="00987768">
              <w:rPr>
                <w:rStyle w:val="Hyperlink"/>
                <w:rFonts w:ascii="Arial" w:hAnsi="Arial" w:cs="Arial"/>
                <w:noProof/>
              </w:rPr>
              <w:t>7.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REFERENCES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_Toc103673789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6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218EA1" w14:textId="0773D652" w:rsidR="00987768" w:rsidRPr="00987768" w:rsidRDefault="00987768">
          <w:pPr>
            <w:pStyle w:val="TOC2"/>
            <w:rPr>
              <w:rFonts w:ascii="Arial" w:eastAsiaTheme="minorEastAsia" w:hAnsi="Arial" w:cs="Arial"/>
              <w:noProof/>
              <w:lang w:eastAsia="en-AU"/>
            </w:rPr>
          </w:pPr>
          <w:hyperlink w:anchor="_Toc103673790" w:history="1">
            <w:r w:rsidRPr="00987768">
              <w:rPr>
                <w:rStyle w:val="Hyperlink"/>
                <w:rFonts w:ascii="Arial" w:hAnsi="Arial" w:cs="Arial"/>
                <w:noProof/>
              </w:rPr>
              <w:t>7.1.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Internal References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_Toc103673790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6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698EAF" w14:textId="34339426" w:rsidR="00987768" w:rsidRPr="00987768" w:rsidRDefault="00987768">
          <w:pPr>
            <w:pStyle w:val="TOC2"/>
            <w:rPr>
              <w:rFonts w:ascii="Arial" w:eastAsiaTheme="minorEastAsia" w:hAnsi="Arial" w:cs="Arial"/>
              <w:noProof/>
              <w:lang w:eastAsia="en-AU"/>
            </w:rPr>
          </w:pPr>
          <w:hyperlink w:anchor="_Toc103673791" w:history="1">
            <w:r w:rsidRPr="00987768">
              <w:rPr>
                <w:rStyle w:val="Hyperlink"/>
                <w:rFonts w:ascii="Arial" w:hAnsi="Arial" w:cs="Arial"/>
                <w:noProof/>
              </w:rPr>
              <w:t>7.2.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External Resources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_Toc103673791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6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3937B08" w14:textId="2C9DE8C2" w:rsidR="00987768" w:rsidRPr="00987768" w:rsidRDefault="00987768">
          <w:pPr>
            <w:pStyle w:val="TOC1"/>
            <w:tabs>
              <w:tab w:val="left" w:pos="426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103673792" w:history="1">
            <w:r w:rsidRPr="00987768">
              <w:rPr>
                <w:rStyle w:val="Hyperlink"/>
                <w:rFonts w:ascii="Arial" w:hAnsi="Arial" w:cs="Arial"/>
                <w:noProof/>
              </w:rPr>
              <w:t>8.</w:t>
            </w:r>
            <w:r w:rsidRPr="00987768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Pr="00987768">
              <w:rPr>
                <w:rStyle w:val="Hyperlink"/>
                <w:rFonts w:ascii="Arial" w:hAnsi="Arial" w:cs="Arial"/>
                <w:noProof/>
              </w:rPr>
              <w:t>AUDITABLE OUTPUTS</w:t>
            </w:r>
            <w:r w:rsidRPr="00987768">
              <w:rPr>
                <w:rFonts w:ascii="Arial" w:hAnsi="Arial" w:cs="Arial"/>
                <w:noProof/>
                <w:webHidden/>
              </w:rPr>
              <w:tab/>
            </w:r>
            <w:r w:rsidRPr="0098776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7768">
              <w:rPr>
                <w:rFonts w:ascii="Arial" w:hAnsi="Arial" w:cs="Arial"/>
                <w:noProof/>
                <w:webHidden/>
              </w:rPr>
              <w:instrText xml:space="preserve"> PAGEREF _Toc103673792 \h </w:instrText>
            </w:r>
            <w:r w:rsidRPr="00987768">
              <w:rPr>
                <w:rFonts w:ascii="Arial" w:hAnsi="Arial" w:cs="Arial"/>
                <w:noProof/>
                <w:webHidden/>
              </w:rPr>
            </w:r>
            <w:r w:rsidRPr="009877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7A96">
              <w:rPr>
                <w:rFonts w:ascii="Arial" w:hAnsi="Arial" w:cs="Arial"/>
                <w:noProof/>
                <w:webHidden/>
              </w:rPr>
              <w:t>6</w:t>
            </w:r>
            <w:r w:rsidRPr="009877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644131" w14:textId="5BE3C93B" w:rsidR="00F70643" w:rsidRPr="003D3121" w:rsidRDefault="00F70643">
          <w:pPr>
            <w:rPr>
              <w:rFonts w:ascii="Arial" w:hAnsi="Arial" w:cs="Arial"/>
            </w:rPr>
          </w:pPr>
          <w:r w:rsidRPr="00987768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3425B8E9" w14:textId="77777777" w:rsidR="00CC00FE" w:rsidRDefault="00CC00FE">
      <w:r>
        <w:br w:type="page"/>
      </w:r>
    </w:p>
    <w:p w14:paraId="2633A0C2" w14:textId="77777777" w:rsidR="00423EE5" w:rsidRDefault="00423EE5" w:rsidP="00DE5726">
      <w:pPr>
        <w:pStyle w:val="Heading1"/>
        <w:spacing w:line="240" w:lineRule="auto"/>
        <w:ind w:left="357" w:hanging="357"/>
        <w:rPr>
          <w:rStyle w:val="Emphasis"/>
          <w:i w:val="0"/>
          <w:iCs w:val="0"/>
        </w:rPr>
      </w:pPr>
      <w:bookmarkStart w:id="0" w:name="_Toc103673772"/>
      <w:r w:rsidRPr="00593095">
        <w:rPr>
          <w:rStyle w:val="Emphasis"/>
          <w:i w:val="0"/>
          <w:iCs w:val="0"/>
        </w:rPr>
        <w:lastRenderedPageBreak/>
        <w:t>PURPOSE</w:t>
      </w:r>
      <w:bookmarkEnd w:id="0"/>
    </w:p>
    <w:p w14:paraId="25AAEB59" w14:textId="77777777" w:rsidR="004C36BF" w:rsidRPr="004C36BF" w:rsidRDefault="007D3560" w:rsidP="004C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C36BF">
        <w:rPr>
          <w:rFonts w:ascii="Arial" w:hAnsi="Arial" w:cs="Arial"/>
        </w:rPr>
        <w:t>Catholi</w:t>
      </w:r>
      <w:r>
        <w:rPr>
          <w:rFonts w:ascii="Arial" w:hAnsi="Arial" w:cs="Arial"/>
        </w:rPr>
        <w:t xml:space="preserve">c Church Endowment Society Inc. </w:t>
      </w:r>
      <w:r w:rsidR="004C36BF">
        <w:rPr>
          <w:rFonts w:ascii="Arial" w:hAnsi="Arial" w:cs="Arial"/>
        </w:rPr>
        <w:t>is committed to providing its workers with a healthy and safe workplace.  The purpose of this document is to define the procedural requirements to support the achievement of this objective through the nurturing of a positive work culture based on encouragement, staff development, teamwork, and positive reinforcement.</w:t>
      </w:r>
    </w:p>
    <w:p w14:paraId="29138A01" w14:textId="77777777" w:rsidR="00423EE5" w:rsidRPr="00593095" w:rsidRDefault="00423EE5" w:rsidP="00593095">
      <w:pPr>
        <w:pStyle w:val="Heading1"/>
        <w:rPr>
          <w:rStyle w:val="Emphasis"/>
          <w:i w:val="0"/>
          <w:iCs w:val="0"/>
        </w:rPr>
      </w:pPr>
      <w:bookmarkStart w:id="1" w:name="_Toc103673773"/>
      <w:r w:rsidRPr="00593095">
        <w:rPr>
          <w:rStyle w:val="Emphasis"/>
          <w:i w:val="0"/>
          <w:iCs w:val="0"/>
        </w:rPr>
        <w:t>SCOPE</w:t>
      </w:r>
      <w:bookmarkEnd w:id="1"/>
    </w:p>
    <w:p w14:paraId="6DA20594" w14:textId="77777777" w:rsidR="006027A8" w:rsidRPr="00C1367B" w:rsidRDefault="000560F0" w:rsidP="00593095">
      <w:pPr>
        <w:pStyle w:val="Style1"/>
        <w:numPr>
          <w:ilvl w:val="0"/>
          <w:numId w:val="0"/>
        </w:numPr>
        <w:spacing w:after="120"/>
        <w:ind w:left="378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This procedure applies to all workers under the Catholic Church Endowment Society Inc. (CCES)</w:t>
      </w:r>
      <w:r w:rsidR="006027A8" w:rsidRPr="00C1367B">
        <w:rPr>
          <w:rStyle w:val="Emphasis"/>
          <w:b w:val="0"/>
          <w:i w:val="0"/>
        </w:rPr>
        <w:t>.</w:t>
      </w:r>
    </w:p>
    <w:p w14:paraId="7BBCE7F6" w14:textId="77777777" w:rsidR="00423EE5" w:rsidRDefault="00423EE5" w:rsidP="00593095">
      <w:pPr>
        <w:pStyle w:val="Heading1"/>
        <w:rPr>
          <w:rStyle w:val="Emphasis"/>
          <w:i w:val="0"/>
          <w:iCs w:val="0"/>
        </w:rPr>
      </w:pPr>
      <w:bookmarkStart w:id="2" w:name="_Toc103673774"/>
      <w:r w:rsidRPr="00593095">
        <w:rPr>
          <w:rStyle w:val="Emphasis"/>
          <w:i w:val="0"/>
          <w:iCs w:val="0"/>
        </w:rPr>
        <w:t>DEFINITIONS</w:t>
      </w:r>
      <w:bookmarkEnd w:id="2"/>
    </w:p>
    <w:p w14:paraId="191BC979" w14:textId="77777777" w:rsidR="00A13BCC" w:rsidRPr="00FE54FF" w:rsidRDefault="00A13BCC" w:rsidP="00A13BCC">
      <w:pPr>
        <w:pStyle w:val="Style1"/>
        <w:numPr>
          <w:ilvl w:val="0"/>
          <w:numId w:val="0"/>
        </w:numPr>
        <w:spacing w:after="0"/>
        <w:ind w:left="360"/>
        <w:contextualSpacing w:val="0"/>
        <w:rPr>
          <w:b w:val="0"/>
          <w:iCs/>
        </w:rPr>
      </w:pPr>
      <w:r w:rsidRPr="00FE54FF">
        <w:rPr>
          <w:rStyle w:val="Emphasis"/>
          <w:b w:val="0"/>
          <w:i w:val="0"/>
        </w:rPr>
        <w:t xml:space="preserve">Definitions can be found on the </w:t>
      </w:r>
      <w:hyperlink r:id="rId8" w:history="1">
        <w:r w:rsidRPr="00FE54FF">
          <w:rPr>
            <w:rStyle w:val="Hyperlink"/>
          </w:rPr>
          <w:t xml:space="preserve">Catholic Safety </w:t>
        </w:r>
        <w:r w:rsidR="00D7149D">
          <w:rPr>
            <w:rStyle w:val="Hyperlink"/>
          </w:rPr>
          <w:t xml:space="preserve">Health &amp; Welfare SA </w:t>
        </w:r>
        <w:r w:rsidRPr="00FE54FF">
          <w:rPr>
            <w:rStyle w:val="Hyperlink"/>
          </w:rPr>
          <w:t>Website</w:t>
        </w:r>
      </w:hyperlink>
      <w:r w:rsidR="00293D71" w:rsidRPr="00FE54FF">
        <w:rPr>
          <w:rStyle w:val="Emphasis"/>
          <w:b w:val="0"/>
        </w:rPr>
        <w:t>.</w:t>
      </w:r>
    </w:p>
    <w:p w14:paraId="5A0CD93C" w14:textId="77777777" w:rsidR="00041976" w:rsidRDefault="00041976" w:rsidP="00593095">
      <w:pPr>
        <w:pStyle w:val="Heading2"/>
        <w:rPr>
          <w:rStyle w:val="Emphasis"/>
          <w:i w:val="0"/>
          <w:iCs w:val="0"/>
        </w:rPr>
      </w:pPr>
      <w:bookmarkStart w:id="3" w:name="_Toc103673775"/>
      <w:r w:rsidRPr="00593095">
        <w:rPr>
          <w:rStyle w:val="Emphasis"/>
          <w:i w:val="0"/>
          <w:iCs w:val="0"/>
        </w:rPr>
        <w:t>Information</w:t>
      </w:r>
      <w:bookmarkEnd w:id="3"/>
    </w:p>
    <w:p w14:paraId="39F6A811" w14:textId="040BF6D6" w:rsidR="004C36BF" w:rsidRDefault="004C36BF" w:rsidP="004C36B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you believe you are being bullied or harassed there are </w:t>
      </w:r>
      <w:r w:rsidR="00D807C7">
        <w:rPr>
          <w:rFonts w:ascii="Arial" w:hAnsi="Arial" w:cs="Arial"/>
        </w:rPr>
        <w:t>several</w:t>
      </w:r>
      <w:r>
        <w:rPr>
          <w:rFonts w:ascii="Arial" w:hAnsi="Arial" w:cs="Arial"/>
        </w:rPr>
        <w:t xml:space="preserve"> ways to approach the problem.  There are informal and formal processes available to you.  It is a good idea to make written notes of any incidents where you believe you have been bullied or harassed, include details of dates, times, witnesses, what happened and what your felt / said.</w:t>
      </w:r>
    </w:p>
    <w:p w14:paraId="469A62C7" w14:textId="77777777" w:rsidR="00732927" w:rsidRPr="004C36BF" w:rsidRDefault="00732927" w:rsidP="00732927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Workers must be informed of the support available to them within their worksite. This could be the worksites Employee Assistance Program provider, or a Support Person.</w:t>
      </w:r>
    </w:p>
    <w:p w14:paraId="2BCC3487" w14:textId="77777777" w:rsidR="00423EE5" w:rsidRPr="00593095" w:rsidRDefault="00423EE5" w:rsidP="00593095">
      <w:pPr>
        <w:pStyle w:val="Heading1"/>
        <w:rPr>
          <w:rStyle w:val="Emphasis"/>
          <w:i w:val="0"/>
          <w:iCs w:val="0"/>
        </w:rPr>
      </w:pPr>
      <w:bookmarkStart w:id="4" w:name="_Toc103673776"/>
      <w:r w:rsidRPr="00593095">
        <w:rPr>
          <w:rStyle w:val="Emphasis"/>
          <w:i w:val="0"/>
          <w:iCs w:val="0"/>
        </w:rPr>
        <w:t>RESPONSIBILITIES</w:t>
      </w:r>
      <w:bookmarkEnd w:id="4"/>
    </w:p>
    <w:p w14:paraId="5407D66A" w14:textId="2ABE76D9" w:rsidR="008C42EA" w:rsidRPr="005661DC" w:rsidRDefault="008C42EA" w:rsidP="008C42EA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Specific responsibilities for carrying out certain actions required by the CCES, have been allocated to </w:t>
      </w:r>
      <w:r w:rsidR="00D807C7" w:rsidRPr="005661DC">
        <w:rPr>
          <w:rStyle w:val="Emphasis"/>
          <w:b w:val="0"/>
          <w:i w:val="0"/>
        </w:rPr>
        <w:t>position</w:t>
      </w:r>
      <w:r w:rsidRPr="005661DC">
        <w:rPr>
          <w:rStyle w:val="Emphasis"/>
          <w:b w:val="0"/>
          <w:i w:val="0"/>
        </w:rPr>
        <w:t xml:space="preserve"> holders within the organisation.  Such responsibilities are consistent with the obligations that the legislation places on officers, managers, supervisors, </w:t>
      </w:r>
      <w:r w:rsidR="00D807C7" w:rsidRPr="005661DC">
        <w:rPr>
          <w:rStyle w:val="Emphasis"/>
          <w:b w:val="0"/>
          <w:i w:val="0"/>
        </w:rPr>
        <w:t>workers,</w:t>
      </w:r>
      <w:r w:rsidRPr="005661DC">
        <w:rPr>
          <w:rStyle w:val="Emphasis"/>
          <w:b w:val="0"/>
          <w:i w:val="0"/>
        </w:rPr>
        <w:t xml:space="preserve"> and others in the workplace.  </w:t>
      </w:r>
    </w:p>
    <w:p w14:paraId="4BB98343" w14:textId="67E21C26" w:rsidR="008C42EA" w:rsidRDefault="008C42EA" w:rsidP="008C42EA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784DDB">
        <w:rPr>
          <w:rStyle w:val="Emphasis"/>
          <w:b w:val="0"/>
          <w:i w:val="0"/>
        </w:rPr>
        <w:t xml:space="preserve">Responsibility, </w:t>
      </w:r>
      <w:r w:rsidR="00D807C7" w:rsidRPr="00784DDB">
        <w:rPr>
          <w:rStyle w:val="Emphasis"/>
          <w:b w:val="0"/>
          <w:i w:val="0"/>
        </w:rPr>
        <w:t>authority,</w:t>
      </w:r>
      <w:r w:rsidRPr="00784DDB">
        <w:rPr>
          <w:rStyle w:val="Emphasis"/>
          <w:b w:val="0"/>
          <w:i w:val="0"/>
        </w:rPr>
        <w:t xml:space="preserve"> and accountability</w:t>
      </w:r>
      <w:r>
        <w:rPr>
          <w:rStyle w:val="Emphasis"/>
          <w:b w:val="0"/>
          <w:i w:val="0"/>
        </w:rPr>
        <w:t xml:space="preserve"> processes have been defined in </w:t>
      </w:r>
      <w:hyperlink r:id="rId9" w:history="1">
        <w:r w:rsidRPr="00784DDB">
          <w:rPr>
            <w:rStyle w:val="Hyperlink"/>
          </w:rPr>
          <w:t>Responsibility, Authority &amp; Accountability Procedure (12)</w:t>
        </w:r>
      </w:hyperlink>
      <w:r w:rsidRPr="00784DDB">
        <w:rPr>
          <w:rStyle w:val="Emphasis"/>
          <w:b w:val="0"/>
          <w:i w:val="0"/>
        </w:rPr>
        <w:t>, and summarised in</w:t>
      </w:r>
      <w:r>
        <w:rPr>
          <w:rStyle w:val="Emphasis"/>
          <w:b w:val="0"/>
          <w:i w:val="0"/>
        </w:rPr>
        <w:t>:</w:t>
      </w:r>
    </w:p>
    <w:p w14:paraId="26ED8A9E" w14:textId="77777777" w:rsidR="0082289C" w:rsidRDefault="00987A96" w:rsidP="0082289C">
      <w:pPr>
        <w:pStyle w:val="Style1"/>
        <w:numPr>
          <w:ilvl w:val="0"/>
          <w:numId w:val="24"/>
        </w:numPr>
        <w:spacing w:before="120" w:after="120"/>
        <w:contextualSpacing w:val="0"/>
        <w:rPr>
          <w:rStyle w:val="Emphasis"/>
          <w:b w:val="0"/>
          <w:i w:val="0"/>
        </w:rPr>
      </w:pPr>
      <w:hyperlink r:id="rId10" w:history="1">
        <w:r w:rsidR="0082289C" w:rsidRPr="00784DDB">
          <w:rPr>
            <w:rStyle w:val="Hyperlink"/>
          </w:rPr>
          <w:t>Responsibility, Authority &amp; Accountability Matrix</w:t>
        </w:r>
        <w:r w:rsidR="0082289C" w:rsidRPr="00784DDB">
          <w:rPr>
            <w:rStyle w:val="Hyperlink"/>
            <w:b w:val="0"/>
          </w:rPr>
          <w:t xml:space="preserve"> –</w:t>
        </w:r>
        <w:r w:rsidR="0082289C">
          <w:rPr>
            <w:rStyle w:val="Hyperlink"/>
          </w:rPr>
          <w:t xml:space="preserve"> Workers (025G</w:t>
        </w:r>
        <w:r w:rsidR="0082289C" w:rsidRPr="00784DDB">
          <w:rPr>
            <w:rStyle w:val="Hyperlink"/>
          </w:rPr>
          <w:t>)</w:t>
        </w:r>
      </w:hyperlink>
      <w:r w:rsidR="0082289C">
        <w:rPr>
          <w:rStyle w:val="Emphasis"/>
          <w:b w:val="0"/>
          <w:i w:val="0"/>
        </w:rPr>
        <w:t>;</w:t>
      </w:r>
    </w:p>
    <w:p w14:paraId="01EB8ABF" w14:textId="77777777" w:rsidR="0082289C" w:rsidRDefault="00987A96" w:rsidP="0082289C">
      <w:pPr>
        <w:pStyle w:val="Style1"/>
        <w:numPr>
          <w:ilvl w:val="0"/>
          <w:numId w:val="24"/>
        </w:numPr>
        <w:spacing w:before="120" w:after="120"/>
        <w:contextualSpacing w:val="0"/>
        <w:rPr>
          <w:rStyle w:val="Emphasis"/>
          <w:b w:val="0"/>
          <w:i w:val="0"/>
        </w:rPr>
      </w:pPr>
      <w:hyperlink r:id="rId11" w:history="1">
        <w:r w:rsidR="0082289C" w:rsidRPr="00784DDB">
          <w:rPr>
            <w:rStyle w:val="Hyperlink"/>
          </w:rPr>
          <w:t>Responsibility, Authority &amp; Accountability Matrix – Managers &amp; Supervisors (0</w:t>
        </w:r>
        <w:r w:rsidR="0082289C">
          <w:rPr>
            <w:rStyle w:val="Hyperlink"/>
          </w:rPr>
          <w:t>23G</w:t>
        </w:r>
        <w:r w:rsidR="0082289C" w:rsidRPr="00784DDB">
          <w:rPr>
            <w:rStyle w:val="Hyperlink"/>
          </w:rPr>
          <w:t>)</w:t>
        </w:r>
      </w:hyperlink>
      <w:r w:rsidR="0082289C" w:rsidRPr="0082289C">
        <w:rPr>
          <w:rStyle w:val="Emphasis"/>
          <w:b w:val="0"/>
          <w:i w:val="0"/>
        </w:rPr>
        <w:t xml:space="preserve">; </w:t>
      </w:r>
    </w:p>
    <w:p w14:paraId="44366F78" w14:textId="77777777" w:rsidR="0082289C" w:rsidRDefault="00987A96" w:rsidP="0082289C">
      <w:pPr>
        <w:pStyle w:val="Style1"/>
        <w:numPr>
          <w:ilvl w:val="0"/>
          <w:numId w:val="24"/>
        </w:numPr>
        <w:spacing w:before="120" w:after="120"/>
        <w:contextualSpacing w:val="0"/>
        <w:rPr>
          <w:rStyle w:val="Emphasis"/>
          <w:b w:val="0"/>
          <w:i w:val="0"/>
        </w:rPr>
      </w:pPr>
      <w:hyperlink r:id="rId12" w:history="1">
        <w:r w:rsidR="0082289C" w:rsidRPr="00784DDB">
          <w:rPr>
            <w:rStyle w:val="Hyperlink"/>
          </w:rPr>
          <w:t>Responsibility, Authority &amp; Accountability Matrix</w:t>
        </w:r>
        <w:r w:rsidR="0082289C" w:rsidRPr="00784DDB">
          <w:rPr>
            <w:rStyle w:val="Hyperlink"/>
            <w:b w:val="0"/>
          </w:rPr>
          <w:t xml:space="preserve"> –</w:t>
        </w:r>
        <w:r w:rsidR="0082289C" w:rsidRPr="00784DDB">
          <w:rPr>
            <w:rStyle w:val="Hyperlink"/>
          </w:rPr>
          <w:t xml:space="preserve"> Officers (0</w:t>
        </w:r>
        <w:r w:rsidR="0082289C">
          <w:rPr>
            <w:rStyle w:val="Hyperlink"/>
          </w:rPr>
          <w:t>24G</w:t>
        </w:r>
        <w:r w:rsidR="0082289C" w:rsidRPr="00784DDB">
          <w:rPr>
            <w:rStyle w:val="Hyperlink"/>
          </w:rPr>
          <w:t>)</w:t>
        </w:r>
      </w:hyperlink>
      <w:r w:rsidR="0082289C">
        <w:rPr>
          <w:rStyle w:val="Emphasis"/>
          <w:b w:val="0"/>
          <w:i w:val="0"/>
        </w:rPr>
        <w:t xml:space="preserve">; and </w:t>
      </w:r>
    </w:p>
    <w:p w14:paraId="775F1D45" w14:textId="77777777" w:rsidR="0082289C" w:rsidRPr="00D774CF" w:rsidRDefault="00987A96" w:rsidP="0082289C">
      <w:pPr>
        <w:pStyle w:val="Style1"/>
        <w:numPr>
          <w:ilvl w:val="0"/>
          <w:numId w:val="24"/>
        </w:numPr>
        <w:spacing w:before="120" w:after="120"/>
        <w:contextualSpacing w:val="0"/>
        <w:rPr>
          <w:rStyle w:val="Emphasis"/>
          <w:b w:val="0"/>
          <w:i w:val="0"/>
        </w:rPr>
      </w:pPr>
      <w:hyperlink r:id="rId13" w:history="1">
        <w:r w:rsidR="0082289C" w:rsidRPr="00A01A64">
          <w:rPr>
            <w:rStyle w:val="Hyperlink"/>
          </w:rPr>
          <w:t>Work Health &amp;</w:t>
        </w:r>
        <w:r w:rsidR="0082289C">
          <w:rPr>
            <w:rStyle w:val="Hyperlink"/>
          </w:rPr>
          <w:t xml:space="preserve"> Safety and</w:t>
        </w:r>
        <w:r w:rsidR="0082289C" w:rsidRPr="00A01A64">
          <w:rPr>
            <w:rStyle w:val="Hyperlink"/>
          </w:rPr>
          <w:t xml:space="preserve"> Injury Management Policy</w:t>
        </w:r>
      </w:hyperlink>
      <w:r w:rsidR="0082289C" w:rsidRPr="00A01A64">
        <w:rPr>
          <w:rStyle w:val="Emphasis"/>
          <w:b w:val="0"/>
          <w:i w:val="0"/>
        </w:rPr>
        <w:t>.</w:t>
      </w:r>
    </w:p>
    <w:p w14:paraId="16F2C645" w14:textId="685EDC48" w:rsidR="008C42EA" w:rsidRDefault="008C42EA" w:rsidP="008C42EA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You are required to familiarise yourself with this procedure </w:t>
      </w:r>
      <w:r w:rsidR="00D807C7" w:rsidRPr="005661DC">
        <w:rPr>
          <w:rStyle w:val="Emphasis"/>
          <w:b w:val="0"/>
          <w:i w:val="0"/>
        </w:rPr>
        <w:t>to</w:t>
      </w:r>
      <w:r w:rsidRPr="005661DC">
        <w:rPr>
          <w:rStyle w:val="Emphasis"/>
          <w:b w:val="0"/>
          <w:i w:val="0"/>
        </w:rPr>
        <w:t xml:space="preserve"> understand the obligations that you may have in relation to its implementation and to carry out your assigned actions and responsibilities.  </w:t>
      </w:r>
    </w:p>
    <w:p w14:paraId="7AAD159C" w14:textId="77777777" w:rsidR="008C42EA" w:rsidRDefault="008C42EA" w:rsidP="008C42EA">
      <w:pPr>
        <w:pStyle w:val="Style1"/>
        <w:numPr>
          <w:ilvl w:val="0"/>
          <w:numId w:val="0"/>
        </w:numPr>
        <w:ind w:left="378"/>
        <w:contextualSpacing w:val="0"/>
        <w:rPr>
          <w:b w:val="0"/>
          <w:iCs/>
        </w:rPr>
      </w:pPr>
      <w:r w:rsidRPr="00B664B1">
        <w:rPr>
          <w:b w:val="0"/>
          <w:iCs/>
        </w:rPr>
        <w:t>This Procedure is to be rea</w:t>
      </w:r>
      <w:r>
        <w:rPr>
          <w:b w:val="0"/>
          <w:iCs/>
        </w:rPr>
        <w:t>d in conjunction with your Organisational</w:t>
      </w:r>
      <w:r w:rsidRPr="00B664B1">
        <w:rPr>
          <w:b w:val="0"/>
          <w:iCs/>
        </w:rPr>
        <w:t xml:space="preserve"> Policies and / or Procedures.</w:t>
      </w:r>
    </w:p>
    <w:p w14:paraId="5D230BFD" w14:textId="77777777" w:rsidR="00F2177A" w:rsidRDefault="00F2177A" w:rsidP="008C42EA">
      <w:pPr>
        <w:pStyle w:val="Style1"/>
        <w:numPr>
          <w:ilvl w:val="0"/>
          <w:numId w:val="0"/>
        </w:numPr>
        <w:ind w:left="378"/>
        <w:contextualSpacing w:val="0"/>
        <w:rPr>
          <w:b w:val="0"/>
          <w:iCs/>
        </w:rPr>
      </w:pPr>
    </w:p>
    <w:p w14:paraId="248FCEBD" w14:textId="77777777" w:rsidR="00F2177A" w:rsidRDefault="00F2177A" w:rsidP="008C42EA">
      <w:pPr>
        <w:pStyle w:val="Style1"/>
        <w:numPr>
          <w:ilvl w:val="0"/>
          <w:numId w:val="0"/>
        </w:numPr>
        <w:ind w:left="378"/>
        <w:contextualSpacing w:val="0"/>
        <w:rPr>
          <w:b w:val="0"/>
          <w:iCs/>
        </w:rPr>
      </w:pPr>
    </w:p>
    <w:p w14:paraId="3BFAFCBB" w14:textId="77777777" w:rsidR="00F2177A" w:rsidRPr="00660110" w:rsidRDefault="00F2177A" w:rsidP="008C42EA">
      <w:pPr>
        <w:pStyle w:val="Style1"/>
        <w:numPr>
          <w:ilvl w:val="0"/>
          <w:numId w:val="0"/>
        </w:numPr>
        <w:ind w:left="378"/>
        <w:contextualSpacing w:val="0"/>
        <w:rPr>
          <w:b w:val="0"/>
          <w:iCs/>
        </w:rPr>
      </w:pPr>
    </w:p>
    <w:p w14:paraId="26BE6422" w14:textId="77777777" w:rsidR="00423EE5" w:rsidRPr="00593095" w:rsidRDefault="0077388F" w:rsidP="00593095">
      <w:pPr>
        <w:pStyle w:val="Heading1"/>
        <w:rPr>
          <w:rStyle w:val="Emphasis"/>
          <w:i w:val="0"/>
          <w:iCs w:val="0"/>
        </w:rPr>
      </w:pPr>
      <w:bookmarkStart w:id="5" w:name="_Toc103673777"/>
      <w:r w:rsidRPr="00593095">
        <w:rPr>
          <w:rStyle w:val="Heading1Char"/>
          <w:b/>
        </w:rPr>
        <w:lastRenderedPageBreak/>
        <w:t>PROCEDURE</w:t>
      </w:r>
      <w:bookmarkEnd w:id="5"/>
    </w:p>
    <w:p w14:paraId="711429CA" w14:textId="77777777" w:rsidR="005F3FA3" w:rsidRDefault="005F3FA3" w:rsidP="00593095">
      <w:pPr>
        <w:pStyle w:val="Heading2"/>
        <w:rPr>
          <w:rStyle w:val="Emphasis"/>
          <w:i w:val="0"/>
          <w:iCs w:val="0"/>
        </w:rPr>
      </w:pPr>
      <w:bookmarkStart w:id="6" w:name="_Toc103673778"/>
      <w:r>
        <w:rPr>
          <w:rStyle w:val="Emphasis"/>
          <w:i w:val="0"/>
          <w:iCs w:val="0"/>
        </w:rPr>
        <w:t>Identification of Bullying &amp; Harassment Hazards / Risks</w:t>
      </w:r>
      <w:bookmarkEnd w:id="6"/>
    </w:p>
    <w:p w14:paraId="2D94287D" w14:textId="1A35A760" w:rsidR="005F3FA3" w:rsidRDefault="008E1B53" w:rsidP="005F3FA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Hazards / risks resulting in or contributing to workplace bullying or harassment shall be identified by Managers / Supervisors, in consultation with workers or their representatives.  </w:t>
      </w:r>
      <w:r w:rsidRPr="00063398">
        <w:rPr>
          <w:rFonts w:ascii="Arial" w:hAnsi="Arial" w:cs="Arial"/>
        </w:rPr>
        <w:t>Table 1 provides</w:t>
      </w:r>
      <w:r>
        <w:rPr>
          <w:rFonts w:ascii="Arial" w:hAnsi="Arial" w:cs="Arial"/>
        </w:rPr>
        <w:t xml:space="preserve"> some guidance on potential risks associated with </w:t>
      </w:r>
      <w:r w:rsidR="00D807C7">
        <w:rPr>
          <w:rFonts w:ascii="Arial" w:hAnsi="Arial" w:cs="Arial"/>
        </w:rPr>
        <w:t>tasks</w:t>
      </w:r>
      <w:r>
        <w:rPr>
          <w:rFonts w:ascii="Arial" w:hAnsi="Arial" w:cs="Arial"/>
        </w:rPr>
        <w:t>.</w:t>
      </w:r>
    </w:p>
    <w:p w14:paraId="27E211DD" w14:textId="77777777" w:rsidR="008E1B53" w:rsidRDefault="00975F1D" w:rsidP="005F3FA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 w:rsidR="008E1B53">
        <w:rPr>
          <w:rFonts w:ascii="Arial" w:hAnsi="Arial" w:cs="Arial"/>
        </w:rPr>
        <w:t>environmental</w:t>
      </w:r>
      <w:r>
        <w:rPr>
          <w:rFonts w:ascii="Arial" w:hAnsi="Arial" w:cs="Arial"/>
        </w:rPr>
        <w:t xml:space="preserve"> risk</w:t>
      </w:r>
      <w:r w:rsidR="008E1B53">
        <w:rPr>
          <w:rFonts w:ascii="Arial" w:hAnsi="Arial" w:cs="Arial"/>
        </w:rPr>
        <w:t xml:space="preserve"> factors shall be considered:</w:t>
      </w:r>
    </w:p>
    <w:p w14:paraId="26D40595" w14:textId="43BAF376" w:rsidR="008E1B53" w:rsidRDefault="00E021D2" w:rsidP="008E1B5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organisational culture –bullying or aggressive behaviour</w:t>
      </w:r>
      <w:r w:rsidR="00987768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seen as necessary to get the job </w:t>
      </w:r>
      <w:r w:rsidR="00D807C7">
        <w:rPr>
          <w:rFonts w:ascii="Arial" w:hAnsi="Arial" w:cs="Arial"/>
        </w:rPr>
        <w:t>done.</w:t>
      </w:r>
    </w:p>
    <w:p w14:paraId="2EE6E4BF" w14:textId="4543ECFA" w:rsidR="008E1B53" w:rsidRDefault="00E021D2" w:rsidP="008E1B5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negative leadership styles – strict or little guidance </w:t>
      </w:r>
      <w:r w:rsidR="00D807C7">
        <w:rPr>
          <w:rFonts w:ascii="Arial" w:hAnsi="Arial" w:cs="Arial"/>
        </w:rPr>
        <w:t>provided.</w:t>
      </w:r>
    </w:p>
    <w:p w14:paraId="6AE22F07" w14:textId="59E702D8" w:rsidR="008E1B53" w:rsidRDefault="00E021D2" w:rsidP="008E1B5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lack of appropriate work systems – lack of training, resources, role definitions, support systems, poorly designed </w:t>
      </w:r>
      <w:r w:rsidR="00D807C7">
        <w:rPr>
          <w:rFonts w:ascii="Arial" w:hAnsi="Arial" w:cs="Arial"/>
        </w:rPr>
        <w:t>rosters.</w:t>
      </w:r>
    </w:p>
    <w:p w14:paraId="02330FDD" w14:textId="0E64F203" w:rsidR="008E1B53" w:rsidRDefault="00E021D2" w:rsidP="008E1B5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poor workplace relationships – criticism and other negative interactions, interpersonal conflict, worker </w:t>
      </w:r>
      <w:r w:rsidR="00D807C7">
        <w:rPr>
          <w:rFonts w:ascii="Arial" w:hAnsi="Arial" w:cs="Arial"/>
        </w:rPr>
        <w:t>exclusion.</w:t>
      </w:r>
    </w:p>
    <w:p w14:paraId="7BF44F8C" w14:textId="77777777" w:rsidR="008E1B53" w:rsidRDefault="00E021D2" w:rsidP="008E1B5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workforce characteristics – vulnerable workers, new workers, apprent</w:t>
      </w:r>
      <w:r w:rsidR="00975F1D">
        <w:rPr>
          <w:rFonts w:ascii="Arial" w:hAnsi="Arial" w:cs="Arial"/>
        </w:rPr>
        <w:t xml:space="preserve">ices, injured workers, </w:t>
      </w:r>
      <w:r>
        <w:rPr>
          <w:rFonts w:ascii="Arial" w:hAnsi="Arial" w:cs="Arial"/>
        </w:rPr>
        <w:t>workers</w:t>
      </w:r>
      <w:r w:rsidR="00975F1D">
        <w:rPr>
          <w:rFonts w:ascii="Arial" w:hAnsi="Arial" w:cs="Arial"/>
        </w:rPr>
        <w:t xml:space="preserve"> with a disability</w:t>
      </w:r>
      <w:r>
        <w:rPr>
          <w:rFonts w:ascii="Arial" w:hAnsi="Arial" w:cs="Arial"/>
        </w:rPr>
        <w:t xml:space="preserve"> </w:t>
      </w:r>
      <w:r w:rsidR="00975F1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workers from an ethnic or religious minority.</w:t>
      </w:r>
    </w:p>
    <w:p w14:paraId="669CABE4" w14:textId="51A512E3" w:rsidR="00401156" w:rsidRPr="00401156" w:rsidRDefault="00401156" w:rsidP="00401156">
      <w:pPr>
        <w:ind w:left="1080"/>
        <w:rPr>
          <w:rFonts w:ascii="Arial" w:hAnsi="Arial" w:cs="Arial"/>
          <w:b/>
        </w:rPr>
      </w:pPr>
      <w:r w:rsidRPr="00401156">
        <w:rPr>
          <w:rFonts w:ascii="Arial" w:hAnsi="Arial" w:cs="Arial"/>
          <w:b/>
        </w:rPr>
        <w:t xml:space="preserve">Table 1: Examples of risk associated with </w:t>
      </w:r>
      <w:r w:rsidR="00D807C7" w:rsidRPr="00401156">
        <w:rPr>
          <w:rFonts w:ascii="Arial" w:hAnsi="Arial" w:cs="Arial"/>
          <w:b/>
        </w:rPr>
        <w:t>tasks</w:t>
      </w:r>
      <w:r w:rsidRPr="00401156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964"/>
        <w:gridCol w:w="3972"/>
      </w:tblGrid>
      <w:tr w:rsidR="008E3D59" w14:paraId="437B725B" w14:textId="77777777" w:rsidTr="00401156">
        <w:tc>
          <w:tcPr>
            <w:tcW w:w="4508" w:type="dxa"/>
            <w:shd w:val="clear" w:color="auto" w:fill="ED7D31" w:themeFill="accent2"/>
          </w:tcPr>
          <w:p w14:paraId="237B2851" w14:textId="77777777" w:rsidR="008E3D59" w:rsidRPr="00401156" w:rsidRDefault="008E3D59" w:rsidP="004011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01156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4508" w:type="dxa"/>
            <w:shd w:val="clear" w:color="auto" w:fill="ED7D31" w:themeFill="accent2"/>
          </w:tcPr>
          <w:p w14:paraId="46C660C6" w14:textId="77777777" w:rsidR="008E3D59" w:rsidRPr="00401156" w:rsidRDefault="008E3D59" w:rsidP="004011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01156">
              <w:rPr>
                <w:rFonts w:ascii="Arial" w:hAnsi="Arial" w:cs="Arial"/>
                <w:b/>
              </w:rPr>
              <w:t>Risk</w:t>
            </w:r>
          </w:p>
        </w:tc>
      </w:tr>
      <w:tr w:rsidR="008E3D59" w14:paraId="568BC296" w14:textId="77777777" w:rsidTr="00401156">
        <w:tc>
          <w:tcPr>
            <w:tcW w:w="4508" w:type="dxa"/>
            <w:vAlign w:val="center"/>
          </w:tcPr>
          <w:p w14:paraId="71DEF282" w14:textId="77777777" w:rsidR="008E3D59" w:rsidRPr="00401156" w:rsidRDefault="008E3D59" w:rsidP="004011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1156">
              <w:rPr>
                <w:rFonts w:ascii="Arial" w:hAnsi="Arial" w:cs="Arial"/>
                <w:sz w:val="20"/>
                <w:szCs w:val="20"/>
              </w:rPr>
              <w:t>Working in competing or conflicting groups</w:t>
            </w:r>
          </w:p>
        </w:tc>
        <w:tc>
          <w:tcPr>
            <w:tcW w:w="4508" w:type="dxa"/>
            <w:vAlign w:val="center"/>
          </w:tcPr>
          <w:p w14:paraId="110A632F" w14:textId="77777777" w:rsidR="008E3D59" w:rsidRPr="00401156" w:rsidRDefault="00401156" w:rsidP="004011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1156">
              <w:rPr>
                <w:rFonts w:ascii="Arial" w:hAnsi="Arial" w:cs="Arial"/>
                <w:sz w:val="20"/>
                <w:szCs w:val="20"/>
              </w:rPr>
              <w:t>Harassment or bullying.</w:t>
            </w:r>
          </w:p>
        </w:tc>
      </w:tr>
      <w:tr w:rsidR="008E3D59" w14:paraId="29D372A3" w14:textId="77777777" w:rsidTr="00401156">
        <w:tc>
          <w:tcPr>
            <w:tcW w:w="4508" w:type="dxa"/>
            <w:vAlign w:val="center"/>
          </w:tcPr>
          <w:p w14:paraId="4AB4DD64" w14:textId="44D27857" w:rsidR="008E3D59" w:rsidRPr="00401156" w:rsidRDefault="008E3D59" w:rsidP="004011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1156">
              <w:rPr>
                <w:rFonts w:ascii="Arial" w:hAnsi="Arial" w:cs="Arial"/>
                <w:sz w:val="20"/>
                <w:szCs w:val="20"/>
              </w:rPr>
              <w:t xml:space="preserve">Providing services to injured, ill, </w:t>
            </w:r>
            <w:r w:rsidR="00D807C7" w:rsidRPr="00401156">
              <w:rPr>
                <w:rFonts w:ascii="Arial" w:hAnsi="Arial" w:cs="Arial"/>
                <w:sz w:val="20"/>
                <w:szCs w:val="20"/>
              </w:rPr>
              <w:t>distressed,</w:t>
            </w:r>
            <w:r w:rsidRPr="00401156">
              <w:rPr>
                <w:rFonts w:ascii="Arial" w:hAnsi="Arial" w:cs="Arial"/>
                <w:sz w:val="20"/>
                <w:szCs w:val="20"/>
              </w:rPr>
              <w:t xml:space="preserve"> or disturbed clients</w:t>
            </w:r>
          </w:p>
        </w:tc>
        <w:tc>
          <w:tcPr>
            <w:tcW w:w="4508" w:type="dxa"/>
            <w:vAlign w:val="center"/>
          </w:tcPr>
          <w:p w14:paraId="179E2A8F" w14:textId="595F6E55" w:rsidR="008E3D59" w:rsidRPr="00401156" w:rsidRDefault="00401156" w:rsidP="004011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1156">
              <w:rPr>
                <w:rFonts w:ascii="Arial" w:hAnsi="Arial" w:cs="Arial"/>
                <w:sz w:val="20"/>
                <w:szCs w:val="20"/>
              </w:rPr>
              <w:t xml:space="preserve">Threats, </w:t>
            </w:r>
            <w:r w:rsidR="00D807C7" w:rsidRPr="00401156">
              <w:rPr>
                <w:rFonts w:ascii="Arial" w:hAnsi="Arial" w:cs="Arial"/>
                <w:sz w:val="20"/>
                <w:szCs w:val="20"/>
              </w:rPr>
              <w:t>verbal,</w:t>
            </w:r>
            <w:r w:rsidRPr="00401156">
              <w:rPr>
                <w:rFonts w:ascii="Arial" w:hAnsi="Arial" w:cs="Arial"/>
                <w:sz w:val="20"/>
                <w:szCs w:val="20"/>
              </w:rPr>
              <w:t xml:space="preserve"> or physical assault.</w:t>
            </w:r>
          </w:p>
        </w:tc>
      </w:tr>
      <w:tr w:rsidR="008E3D59" w14:paraId="7955EDE3" w14:textId="77777777" w:rsidTr="00401156">
        <w:tc>
          <w:tcPr>
            <w:tcW w:w="4508" w:type="dxa"/>
            <w:vAlign w:val="center"/>
          </w:tcPr>
          <w:p w14:paraId="2FE1A405" w14:textId="3D188CB8" w:rsidR="008E3D59" w:rsidRPr="00401156" w:rsidRDefault="008E3D59" w:rsidP="004011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1156">
              <w:rPr>
                <w:rFonts w:ascii="Arial" w:hAnsi="Arial" w:cs="Arial"/>
                <w:sz w:val="20"/>
                <w:szCs w:val="20"/>
              </w:rPr>
              <w:t xml:space="preserve">Working for a service that may be seen as a political, social, economic, </w:t>
            </w:r>
            <w:r w:rsidR="00D807C7" w:rsidRPr="00401156">
              <w:rPr>
                <w:rFonts w:ascii="Arial" w:hAnsi="Arial" w:cs="Arial"/>
                <w:sz w:val="20"/>
                <w:szCs w:val="20"/>
              </w:rPr>
              <w:t>racial,</w:t>
            </w:r>
            <w:r w:rsidRPr="00401156">
              <w:rPr>
                <w:rFonts w:ascii="Arial" w:hAnsi="Arial" w:cs="Arial"/>
                <w:sz w:val="20"/>
                <w:szCs w:val="20"/>
              </w:rPr>
              <w:t xml:space="preserve"> or other “target”</w:t>
            </w:r>
          </w:p>
        </w:tc>
        <w:tc>
          <w:tcPr>
            <w:tcW w:w="4508" w:type="dxa"/>
            <w:vAlign w:val="center"/>
          </w:tcPr>
          <w:p w14:paraId="7E5E0E42" w14:textId="77777777" w:rsidR="008E3D59" w:rsidRPr="00401156" w:rsidRDefault="00401156" w:rsidP="004011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1156">
              <w:rPr>
                <w:rFonts w:ascii="Arial" w:hAnsi="Arial" w:cs="Arial"/>
                <w:sz w:val="20"/>
                <w:szCs w:val="20"/>
              </w:rPr>
              <w:t>Threats, harassment, verbal or physical assault, hostage taking, sieges, property damage.</w:t>
            </w:r>
          </w:p>
        </w:tc>
      </w:tr>
      <w:tr w:rsidR="008E3D59" w14:paraId="0D9EF716" w14:textId="77777777" w:rsidTr="00401156">
        <w:tc>
          <w:tcPr>
            <w:tcW w:w="4508" w:type="dxa"/>
            <w:vAlign w:val="center"/>
          </w:tcPr>
          <w:p w14:paraId="70941DAA" w14:textId="77777777" w:rsidR="008E3D59" w:rsidRPr="00401156" w:rsidRDefault="008E3D59" w:rsidP="004011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1156">
              <w:rPr>
                <w:rFonts w:ascii="Arial" w:hAnsi="Arial" w:cs="Arial"/>
                <w:sz w:val="20"/>
                <w:szCs w:val="20"/>
              </w:rPr>
              <w:t>Working alone, in isolated places, or late at night</w:t>
            </w:r>
          </w:p>
        </w:tc>
        <w:tc>
          <w:tcPr>
            <w:tcW w:w="4508" w:type="dxa"/>
            <w:vAlign w:val="center"/>
          </w:tcPr>
          <w:p w14:paraId="7D42FADD" w14:textId="77777777" w:rsidR="008E3D59" w:rsidRPr="00401156" w:rsidRDefault="00401156" w:rsidP="004011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1156">
              <w:rPr>
                <w:rFonts w:ascii="Arial" w:hAnsi="Arial" w:cs="Arial"/>
                <w:sz w:val="20"/>
                <w:szCs w:val="20"/>
              </w:rPr>
              <w:t>Armed hold-up, sexual or physical assault.</w:t>
            </w:r>
          </w:p>
        </w:tc>
      </w:tr>
      <w:tr w:rsidR="008E3D59" w14:paraId="69B291C6" w14:textId="77777777" w:rsidTr="00401156">
        <w:tc>
          <w:tcPr>
            <w:tcW w:w="4508" w:type="dxa"/>
            <w:vAlign w:val="center"/>
          </w:tcPr>
          <w:p w14:paraId="2679B1C7" w14:textId="77777777" w:rsidR="008E3D59" w:rsidRPr="00401156" w:rsidRDefault="008E3D59" w:rsidP="004011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1156">
              <w:rPr>
                <w:rFonts w:ascii="Arial" w:hAnsi="Arial" w:cs="Arial"/>
                <w:sz w:val="20"/>
                <w:szCs w:val="20"/>
              </w:rPr>
              <w:t>Working</w:t>
            </w:r>
            <w:r w:rsidR="005B3028" w:rsidRPr="00401156">
              <w:rPr>
                <w:rFonts w:ascii="Arial" w:hAnsi="Arial" w:cs="Arial"/>
                <w:sz w:val="20"/>
                <w:szCs w:val="20"/>
              </w:rPr>
              <w:t xml:space="preserve"> with valuable goods or cash handling (receiving, counting, sorting, transporting to back, payroll)</w:t>
            </w:r>
          </w:p>
        </w:tc>
        <w:tc>
          <w:tcPr>
            <w:tcW w:w="4508" w:type="dxa"/>
            <w:vAlign w:val="center"/>
          </w:tcPr>
          <w:p w14:paraId="25A5EE45" w14:textId="77777777" w:rsidR="008E3D59" w:rsidRPr="00401156" w:rsidRDefault="00401156" w:rsidP="004011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1156">
              <w:rPr>
                <w:rFonts w:ascii="Arial" w:hAnsi="Arial" w:cs="Arial"/>
                <w:sz w:val="20"/>
                <w:szCs w:val="20"/>
              </w:rPr>
              <w:t>Armed hold-up, physical assault.</w:t>
            </w:r>
          </w:p>
        </w:tc>
      </w:tr>
      <w:tr w:rsidR="008E3D59" w14:paraId="483764F4" w14:textId="77777777" w:rsidTr="00401156">
        <w:tc>
          <w:tcPr>
            <w:tcW w:w="4508" w:type="dxa"/>
            <w:vAlign w:val="center"/>
          </w:tcPr>
          <w:p w14:paraId="028F486D" w14:textId="71DB4083" w:rsidR="008E3D59" w:rsidRPr="00401156" w:rsidRDefault="005B3028" w:rsidP="00975F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1156">
              <w:rPr>
                <w:rFonts w:ascii="Arial" w:hAnsi="Arial" w:cs="Arial"/>
                <w:sz w:val="20"/>
                <w:szCs w:val="20"/>
              </w:rPr>
              <w:t>Working in the immediate vici</w:t>
            </w:r>
            <w:r w:rsidR="00975F1D">
              <w:rPr>
                <w:rFonts w:ascii="Arial" w:hAnsi="Arial" w:cs="Arial"/>
                <w:sz w:val="20"/>
                <w:szCs w:val="20"/>
              </w:rPr>
              <w:t>nity of “high risk” businesses (</w:t>
            </w:r>
            <w:r w:rsidR="00D807C7">
              <w:rPr>
                <w:rFonts w:ascii="Arial" w:hAnsi="Arial" w:cs="Arial"/>
                <w:sz w:val="20"/>
                <w:szCs w:val="20"/>
              </w:rPr>
              <w:t>drop-in</w:t>
            </w:r>
            <w:r w:rsidR="00975F1D">
              <w:rPr>
                <w:rFonts w:ascii="Arial" w:hAnsi="Arial" w:cs="Arial"/>
                <w:sz w:val="20"/>
                <w:szCs w:val="20"/>
              </w:rPr>
              <w:t xml:space="preserve"> centres, counselling services, stores</w:t>
            </w:r>
            <w:r w:rsidRPr="004011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8" w:type="dxa"/>
            <w:vAlign w:val="center"/>
          </w:tcPr>
          <w:p w14:paraId="4DDA3BDD" w14:textId="77777777" w:rsidR="008E3D59" w:rsidRPr="00401156" w:rsidRDefault="00401156" w:rsidP="004011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1156">
              <w:rPr>
                <w:rFonts w:ascii="Arial" w:hAnsi="Arial" w:cs="Arial"/>
                <w:sz w:val="20"/>
                <w:szCs w:val="20"/>
              </w:rPr>
              <w:t>Incidental violence – emotional trauma, physical injury, hostage taking.</w:t>
            </w:r>
          </w:p>
        </w:tc>
      </w:tr>
    </w:tbl>
    <w:p w14:paraId="1028C30E" w14:textId="77777777" w:rsidR="00401156" w:rsidRDefault="00401156" w:rsidP="00593095">
      <w:pPr>
        <w:pStyle w:val="Heading2"/>
        <w:rPr>
          <w:rStyle w:val="Emphasis"/>
          <w:i w:val="0"/>
          <w:iCs w:val="0"/>
        </w:rPr>
      </w:pPr>
      <w:bookmarkStart w:id="7" w:name="_Toc103673779"/>
      <w:r>
        <w:rPr>
          <w:rStyle w:val="Emphasis"/>
          <w:i w:val="0"/>
          <w:iCs w:val="0"/>
        </w:rPr>
        <w:t>Assessment of Risk</w:t>
      </w:r>
      <w:bookmarkEnd w:id="7"/>
    </w:p>
    <w:p w14:paraId="06CF9E78" w14:textId="77777777" w:rsidR="00401156" w:rsidRPr="00401156" w:rsidRDefault="00401156" w:rsidP="00401156">
      <w:pPr>
        <w:ind w:left="1080"/>
        <w:rPr>
          <w:rFonts w:ascii="Arial" w:hAnsi="Arial" w:cs="Arial"/>
        </w:rPr>
      </w:pPr>
      <w:r w:rsidRPr="00401156">
        <w:rPr>
          <w:rFonts w:ascii="Arial" w:hAnsi="Arial" w:cs="Arial"/>
        </w:rPr>
        <w:t>Bullying and harassment risks shall be assessed in accordance with</w:t>
      </w:r>
      <w:r w:rsidR="00D8781D">
        <w:rPr>
          <w:rFonts w:ascii="Arial" w:hAnsi="Arial" w:cs="Arial"/>
        </w:rPr>
        <w:t xml:space="preserve"> </w:t>
      </w:r>
      <w:hyperlink r:id="rId14" w:history="1">
        <w:r w:rsidR="00D8781D" w:rsidRPr="00063398">
          <w:rPr>
            <w:rStyle w:val="Hyperlink"/>
            <w:rFonts w:ascii="Arial" w:hAnsi="Arial" w:cs="Arial"/>
            <w:b/>
          </w:rPr>
          <w:t>Hazard Management Procedure (14)</w:t>
        </w:r>
      </w:hyperlink>
      <w:r w:rsidR="00D8781D">
        <w:rPr>
          <w:rFonts w:ascii="Arial" w:hAnsi="Arial" w:cs="Arial"/>
        </w:rPr>
        <w:t>.</w:t>
      </w:r>
    </w:p>
    <w:p w14:paraId="65FF25C7" w14:textId="77777777" w:rsidR="00A4531A" w:rsidRDefault="00A4531A" w:rsidP="00593095">
      <w:pPr>
        <w:pStyle w:val="Heading2"/>
        <w:rPr>
          <w:rStyle w:val="Emphasis"/>
          <w:i w:val="0"/>
          <w:iCs w:val="0"/>
        </w:rPr>
      </w:pPr>
      <w:bookmarkStart w:id="8" w:name="_Toc103673780"/>
      <w:r>
        <w:rPr>
          <w:rStyle w:val="Emphasis"/>
          <w:i w:val="0"/>
          <w:iCs w:val="0"/>
        </w:rPr>
        <w:t>Risk Control Measures</w:t>
      </w:r>
      <w:bookmarkEnd w:id="8"/>
    </w:p>
    <w:p w14:paraId="08592860" w14:textId="77777777" w:rsidR="00A4531A" w:rsidRDefault="00A4531A" w:rsidP="00A4531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Bullying and harassment risks shall be controlled by the following:</w:t>
      </w:r>
    </w:p>
    <w:p w14:paraId="5F6E9F9F" w14:textId="0346E159" w:rsidR="00A4531A" w:rsidRDefault="00E021D2" w:rsidP="00A453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</w:t>
      </w:r>
      <w:r w:rsidR="00975F1D">
        <w:rPr>
          <w:rFonts w:ascii="Arial" w:hAnsi="Arial" w:cs="Arial"/>
        </w:rPr>
        <w:t>all changes in the workplace,</w:t>
      </w:r>
      <w:r>
        <w:rPr>
          <w:rFonts w:ascii="Arial" w:hAnsi="Arial" w:cs="Arial"/>
        </w:rPr>
        <w:t xml:space="preserve"> in consultation with </w:t>
      </w:r>
      <w:r w:rsidR="00D807C7">
        <w:rPr>
          <w:rFonts w:ascii="Arial" w:hAnsi="Arial" w:cs="Arial"/>
        </w:rPr>
        <w:t>workers.</w:t>
      </w:r>
    </w:p>
    <w:p w14:paraId="31EE922B" w14:textId="513FBB45" w:rsidR="00A4531A" w:rsidRDefault="00E021D2" w:rsidP="00A453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promoting productive and respectful workplace relationships including good management practices and effective </w:t>
      </w:r>
      <w:r w:rsidR="00D807C7">
        <w:rPr>
          <w:rFonts w:ascii="Arial" w:hAnsi="Arial" w:cs="Arial"/>
        </w:rPr>
        <w:t>communication.</w:t>
      </w:r>
    </w:p>
    <w:p w14:paraId="286A5BAE" w14:textId="150018CB" w:rsidR="00975F1D" w:rsidRDefault="00E021D2" w:rsidP="00A453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providing managers / supervisors with support and </w:t>
      </w:r>
      <w:r w:rsidR="00D807C7">
        <w:rPr>
          <w:rFonts w:ascii="Arial" w:hAnsi="Arial" w:cs="Arial"/>
        </w:rPr>
        <w:t>training.</w:t>
      </w:r>
    </w:p>
    <w:p w14:paraId="134BF6CF" w14:textId="0972544E" w:rsidR="00A4531A" w:rsidRDefault="00E021D2" w:rsidP="00A453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feedback on management performance an</w:t>
      </w:r>
      <w:r w:rsidR="00975F1D">
        <w:rPr>
          <w:rFonts w:ascii="Arial" w:hAnsi="Arial" w:cs="Arial"/>
        </w:rPr>
        <w:t xml:space="preserve">d leadership </w:t>
      </w:r>
      <w:r w:rsidR="00D807C7">
        <w:rPr>
          <w:rFonts w:ascii="Arial" w:hAnsi="Arial" w:cs="Arial"/>
        </w:rPr>
        <w:t>skills.</w:t>
      </w:r>
    </w:p>
    <w:p w14:paraId="64481972" w14:textId="0218F54E" w:rsidR="00E155BE" w:rsidRDefault="00E021D2" w:rsidP="00A453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ensuring there are standard operating</w:t>
      </w:r>
      <w:r w:rsidR="00E155BE">
        <w:rPr>
          <w:rFonts w:ascii="Arial" w:hAnsi="Arial" w:cs="Arial"/>
        </w:rPr>
        <w:t xml:space="preserve"> procedures / work </w:t>
      </w:r>
      <w:r w:rsidR="00D807C7">
        <w:rPr>
          <w:rFonts w:ascii="Arial" w:hAnsi="Arial" w:cs="Arial"/>
        </w:rPr>
        <w:t>instructions.</w:t>
      </w:r>
    </w:p>
    <w:p w14:paraId="3D0517BC" w14:textId="128750F5" w:rsidR="00E155BE" w:rsidRDefault="00E021D2" w:rsidP="00A453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reviewin</w:t>
      </w:r>
      <w:r w:rsidR="00E155BE">
        <w:rPr>
          <w:rFonts w:ascii="Arial" w:hAnsi="Arial" w:cs="Arial"/>
        </w:rPr>
        <w:t xml:space="preserve">g workloads and staffing </w:t>
      </w:r>
      <w:r w:rsidR="00D807C7">
        <w:rPr>
          <w:rFonts w:ascii="Arial" w:hAnsi="Arial" w:cs="Arial"/>
        </w:rPr>
        <w:t>levels.</w:t>
      </w:r>
    </w:p>
    <w:p w14:paraId="076C61AA" w14:textId="6C399381" w:rsidR="00E155BE" w:rsidRDefault="00E021D2" w:rsidP="00A453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E155BE">
        <w:rPr>
          <w:rFonts w:ascii="Arial" w:hAnsi="Arial" w:cs="Arial"/>
        </w:rPr>
        <w:t xml:space="preserve">ducing / minimising excessive work </w:t>
      </w:r>
      <w:r w:rsidR="00D807C7">
        <w:rPr>
          <w:rFonts w:ascii="Arial" w:hAnsi="Arial" w:cs="Arial"/>
        </w:rPr>
        <w:t>hours.</w:t>
      </w:r>
    </w:p>
    <w:p w14:paraId="63EB6C7B" w14:textId="77DCBE29" w:rsidR="00A4531A" w:rsidRDefault="00E021D2" w:rsidP="00A453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clearly defining job </w:t>
      </w:r>
      <w:r w:rsidR="00D807C7">
        <w:rPr>
          <w:rFonts w:ascii="Arial" w:hAnsi="Arial" w:cs="Arial"/>
        </w:rPr>
        <w:t>roles.</w:t>
      </w:r>
    </w:p>
    <w:p w14:paraId="59AD8D96" w14:textId="1E62381C" w:rsidR="00A4531A" w:rsidRDefault="00E021D2" w:rsidP="00A453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developing and implementing conflict management processes and providing training</w:t>
      </w:r>
      <w:r w:rsidR="00E155BE">
        <w:rPr>
          <w:rFonts w:ascii="Arial" w:hAnsi="Arial" w:cs="Arial"/>
        </w:rPr>
        <w:t xml:space="preserve"> in diversity, </w:t>
      </w:r>
      <w:r w:rsidR="00D807C7">
        <w:rPr>
          <w:rFonts w:ascii="Arial" w:hAnsi="Arial" w:cs="Arial"/>
        </w:rPr>
        <w:t>tolerance.</w:t>
      </w:r>
    </w:p>
    <w:p w14:paraId="721DAAB3" w14:textId="390F3F5F" w:rsidR="00A4531A" w:rsidRDefault="00E021D2" w:rsidP="00A453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developing and implementing systems to support and</w:t>
      </w:r>
      <w:r w:rsidR="00E155BE">
        <w:rPr>
          <w:rFonts w:ascii="Arial" w:hAnsi="Arial" w:cs="Arial"/>
        </w:rPr>
        <w:t xml:space="preserve"> protect vulnerable </w:t>
      </w:r>
      <w:r w:rsidR="00D807C7">
        <w:rPr>
          <w:rFonts w:ascii="Arial" w:hAnsi="Arial" w:cs="Arial"/>
        </w:rPr>
        <w:t>workers.</w:t>
      </w:r>
    </w:p>
    <w:p w14:paraId="772A94DA" w14:textId="77777777" w:rsidR="00A4531A" w:rsidRDefault="00E021D2" w:rsidP="00A453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im</w:t>
      </w:r>
      <w:r w:rsidR="00E155BE">
        <w:rPr>
          <w:rFonts w:ascii="Arial" w:hAnsi="Arial" w:cs="Arial"/>
        </w:rPr>
        <w:t xml:space="preserve">plementing buddy systems. </w:t>
      </w:r>
    </w:p>
    <w:p w14:paraId="379D6AE7" w14:textId="77777777" w:rsidR="007D3560" w:rsidRPr="007D3560" w:rsidRDefault="007D3560" w:rsidP="007D356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Refer to </w:t>
      </w:r>
      <w:hyperlink r:id="rId15" w:history="1">
        <w:r w:rsidRPr="00147F00">
          <w:rPr>
            <w:rStyle w:val="Hyperlink"/>
            <w:rFonts w:ascii="Arial" w:hAnsi="Arial" w:cs="Arial"/>
            <w:b/>
          </w:rPr>
          <w:t xml:space="preserve">Challenging Behaviours, Aggression &amp; Violence </w:t>
        </w:r>
        <w:r w:rsidR="00147F00" w:rsidRPr="00147F00">
          <w:rPr>
            <w:rStyle w:val="Hyperlink"/>
            <w:rFonts w:ascii="Arial" w:hAnsi="Arial" w:cs="Arial"/>
            <w:b/>
          </w:rPr>
          <w:t xml:space="preserve">Procedure </w:t>
        </w:r>
        <w:r w:rsidRPr="00147F00">
          <w:rPr>
            <w:rStyle w:val="Hyperlink"/>
            <w:rFonts w:ascii="Arial" w:hAnsi="Arial" w:cs="Arial"/>
            <w:b/>
          </w:rPr>
          <w:t>(18)</w:t>
        </w:r>
      </w:hyperlink>
      <w:r w:rsidRPr="00147F00">
        <w:rPr>
          <w:rFonts w:ascii="Arial" w:hAnsi="Arial" w:cs="Arial"/>
        </w:rPr>
        <w:t>.</w:t>
      </w:r>
    </w:p>
    <w:p w14:paraId="2D1AF590" w14:textId="77777777" w:rsidR="00A4531A" w:rsidRDefault="00A4531A" w:rsidP="00593095">
      <w:pPr>
        <w:pStyle w:val="Heading2"/>
        <w:rPr>
          <w:rStyle w:val="Emphasis"/>
          <w:i w:val="0"/>
          <w:iCs w:val="0"/>
        </w:rPr>
      </w:pPr>
      <w:bookmarkStart w:id="9" w:name="_Toc103673781"/>
      <w:r>
        <w:rPr>
          <w:rStyle w:val="Emphasis"/>
          <w:i w:val="0"/>
          <w:iCs w:val="0"/>
        </w:rPr>
        <w:t>Bullying and Harassment Reporting</w:t>
      </w:r>
      <w:bookmarkEnd w:id="9"/>
    </w:p>
    <w:p w14:paraId="7E4B6063" w14:textId="761AC703" w:rsidR="00A4531A" w:rsidRPr="006A2C6D" w:rsidRDefault="00A4531A" w:rsidP="00A4531A">
      <w:pPr>
        <w:ind w:left="1080"/>
        <w:rPr>
          <w:rStyle w:val="Emphasis"/>
          <w:rFonts w:ascii="Arial" w:hAnsi="Arial" w:cs="Arial"/>
          <w:b/>
          <w:i w:val="0"/>
          <w:iCs w:val="0"/>
        </w:rPr>
      </w:pPr>
      <w:r>
        <w:rPr>
          <w:rFonts w:ascii="Arial" w:hAnsi="Arial" w:cs="Arial"/>
        </w:rPr>
        <w:t xml:space="preserve">A worker who believes they are being bullied or harassed shall follow the </w:t>
      </w:r>
      <w:r w:rsidR="00E155BE">
        <w:rPr>
          <w:rFonts w:ascii="Arial" w:hAnsi="Arial" w:cs="Arial"/>
        </w:rPr>
        <w:t xml:space="preserve">worksites </w:t>
      </w:r>
      <w:r>
        <w:rPr>
          <w:rFonts w:ascii="Arial" w:hAnsi="Arial" w:cs="Arial"/>
        </w:rPr>
        <w:t>procedures</w:t>
      </w:r>
      <w:r w:rsidR="00E66165">
        <w:rPr>
          <w:rFonts w:ascii="Arial" w:hAnsi="Arial" w:cs="Arial"/>
        </w:rPr>
        <w:t xml:space="preserve">. </w:t>
      </w:r>
      <w:r w:rsidR="00987768">
        <w:rPr>
          <w:rFonts w:ascii="Arial" w:hAnsi="Arial" w:cs="Arial"/>
        </w:rPr>
        <w:t xml:space="preserve"> </w:t>
      </w:r>
      <w:r w:rsidR="00E66165">
        <w:rPr>
          <w:rFonts w:ascii="Arial" w:hAnsi="Arial" w:cs="Arial"/>
        </w:rPr>
        <w:t>Your worksite Contact O</w:t>
      </w:r>
      <w:r w:rsidR="00E155BE">
        <w:rPr>
          <w:rFonts w:ascii="Arial" w:hAnsi="Arial" w:cs="Arial"/>
        </w:rPr>
        <w:t>fficer or WHS Coordinator can assist.</w:t>
      </w:r>
    </w:p>
    <w:p w14:paraId="2CBDB652" w14:textId="77777777" w:rsidR="004C36BF" w:rsidRDefault="00A4531A" w:rsidP="00593095">
      <w:pPr>
        <w:pStyle w:val="Heading2"/>
        <w:rPr>
          <w:rStyle w:val="Emphasis"/>
          <w:i w:val="0"/>
          <w:iCs w:val="0"/>
        </w:rPr>
      </w:pPr>
      <w:bookmarkStart w:id="10" w:name="_Toc103673782"/>
      <w:r>
        <w:rPr>
          <w:rStyle w:val="Emphasis"/>
          <w:i w:val="0"/>
          <w:iCs w:val="0"/>
        </w:rPr>
        <w:t>Bullying and Harassment Investigations</w:t>
      </w:r>
      <w:bookmarkEnd w:id="10"/>
    </w:p>
    <w:p w14:paraId="0508211D" w14:textId="18FEF801" w:rsidR="00A4531A" w:rsidRPr="006A2C6D" w:rsidRDefault="006A2C6D" w:rsidP="00A4531A">
      <w:pPr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All reported incidences of bullying or harassment shall be investigated and resolved in accordance with the processes documented in</w:t>
      </w:r>
      <w:r w:rsidR="00E155BE">
        <w:rPr>
          <w:rFonts w:ascii="Arial" w:hAnsi="Arial" w:cs="Arial"/>
        </w:rPr>
        <w:t xml:space="preserve"> your </w:t>
      </w:r>
      <w:r w:rsidR="00D807C7">
        <w:rPr>
          <w:rFonts w:ascii="Arial" w:hAnsi="Arial" w:cs="Arial"/>
        </w:rPr>
        <w:t>worksite’s</w:t>
      </w:r>
      <w:r w:rsidR="00E155BE">
        <w:rPr>
          <w:rFonts w:ascii="Arial" w:hAnsi="Arial" w:cs="Arial"/>
        </w:rPr>
        <w:t xml:space="preserve"> grievance procedures.</w:t>
      </w:r>
    </w:p>
    <w:p w14:paraId="23EB074A" w14:textId="77777777" w:rsidR="006A2C6D" w:rsidRDefault="006A2C6D" w:rsidP="00593095">
      <w:pPr>
        <w:pStyle w:val="Heading2"/>
        <w:rPr>
          <w:rStyle w:val="Emphasis"/>
          <w:i w:val="0"/>
          <w:iCs w:val="0"/>
        </w:rPr>
      </w:pPr>
      <w:bookmarkStart w:id="11" w:name="_Toc103673783"/>
      <w:r>
        <w:rPr>
          <w:rStyle w:val="Emphasis"/>
          <w:i w:val="0"/>
          <w:iCs w:val="0"/>
        </w:rPr>
        <w:t>Training</w:t>
      </w:r>
      <w:bookmarkEnd w:id="11"/>
    </w:p>
    <w:p w14:paraId="0A836CBD" w14:textId="087D05B3" w:rsidR="006A2C6D" w:rsidRDefault="006A2C6D" w:rsidP="006A2C6D">
      <w:pPr>
        <w:ind w:left="1080"/>
        <w:rPr>
          <w:rFonts w:ascii="Arial" w:hAnsi="Arial" w:cs="Arial"/>
        </w:rPr>
      </w:pPr>
      <w:r w:rsidRPr="006A2C6D">
        <w:rPr>
          <w:rFonts w:ascii="Arial" w:hAnsi="Arial" w:cs="Arial"/>
        </w:rPr>
        <w:t>All workers who have a role in procedures relating to bullying, shall be trained to perform their roles, (</w:t>
      </w:r>
      <w:r w:rsidR="00D807C7" w:rsidRPr="006A2C6D">
        <w:rPr>
          <w:rFonts w:ascii="Arial" w:hAnsi="Arial" w:cs="Arial"/>
        </w:rPr>
        <w:t>e.g.,</w:t>
      </w:r>
      <w:r w:rsidRPr="006A2C6D">
        <w:rPr>
          <w:rFonts w:ascii="Arial" w:hAnsi="Arial" w:cs="Arial"/>
        </w:rPr>
        <w:t xml:space="preserve"> conflict management training,</w:t>
      </w:r>
      <w:r w:rsidR="00E155BE">
        <w:rPr>
          <w:rFonts w:ascii="Arial" w:hAnsi="Arial" w:cs="Arial"/>
        </w:rPr>
        <w:t xml:space="preserve"> contact officer training,</w:t>
      </w:r>
      <w:r w:rsidRPr="006A2C6D">
        <w:rPr>
          <w:rFonts w:ascii="Arial" w:hAnsi="Arial" w:cs="Arial"/>
        </w:rPr>
        <w:t xml:space="preserve"> investigations training, HSR training and specific bullying prevention training).</w:t>
      </w:r>
    </w:p>
    <w:p w14:paraId="6EEF53BE" w14:textId="77777777" w:rsidR="006A2C6D" w:rsidRPr="006A2C6D" w:rsidRDefault="006A2C6D" w:rsidP="006A2C6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All workers are to be made aware of the bullying and harassment prevention procedure, during inductions.</w:t>
      </w:r>
    </w:p>
    <w:p w14:paraId="6E6C8BFE" w14:textId="77777777" w:rsidR="00041976" w:rsidRPr="00593095" w:rsidRDefault="00041976" w:rsidP="00593095">
      <w:pPr>
        <w:pStyle w:val="Heading2"/>
        <w:rPr>
          <w:rStyle w:val="Emphasis"/>
          <w:i w:val="0"/>
          <w:iCs w:val="0"/>
        </w:rPr>
      </w:pPr>
      <w:bookmarkStart w:id="12" w:name="_Toc103673784"/>
      <w:r w:rsidRPr="00593095">
        <w:rPr>
          <w:rStyle w:val="Emphasis"/>
          <w:i w:val="0"/>
          <w:iCs w:val="0"/>
        </w:rPr>
        <w:t>Records</w:t>
      </w:r>
      <w:bookmarkEnd w:id="12"/>
    </w:p>
    <w:p w14:paraId="554385BC" w14:textId="77777777" w:rsidR="00041976" w:rsidRPr="00FF4D84" w:rsidRDefault="00041976" w:rsidP="006A2C6D">
      <w:pPr>
        <w:pStyle w:val="Style1"/>
        <w:numPr>
          <w:ilvl w:val="0"/>
          <w:numId w:val="0"/>
        </w:numPr>
        <w:spacing w:after="120"/>
        <w:ind w:left="1080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Document</w:t>
      </w:r>
      <w:r w:rsidR="00B30F5C">
        <w:rPr>
          <w:rStyle w:val="Emphasis"/>
          <w:b w:val="0"/>
          <w:i w:val="0"/>
        </w:rPr>
        <w:t>s</w:t>
      </w:r>
      <w:r w:rsidRPr="00C1367B">
        <w:rPr>
          <w:rStyle w:val="Emphasis"/>
          <w:b w:val="0"/>
          <w:i w:val="0"/>
        </w:rPr>
        <w:t xml:space="preserve"> used to manage </w:t>
      </w:r>
      <w:r w:rsidR="00E155BE">
        <w:rPr>
          <w:rStyle w:val="Emphasis"/>
          <w:b w:val="0"/>
          <w:i w:val="0"/>
        </w:rPr>
        <w:t>bullying and harassment</w:t>
      </w:r>
      <w:r w:rsidRPr="00FF4D84">
        <w:rPr>
          <w:rStyle w:val="Emphasis"/>
          <w:b w:val="0"/>
          <w:i w:val="0"/>
        </w:rPr>
        <w:t xml:space="preserve"> </w:t>
      </w:r>
      <w:r w:rsidRPr="00C1367B">
        <w:rPr>
          <w:rStyle w:val="Emphasis"/>
          <w:b w:val="0"/>
          <w:i w:val="0"/>
        </w:rPr>
        <w:t>as prescribed by this procedure will be produced in a format that allows tracking for verif</w:t>
      </w:r>
      <w:r w:rsidR="006027A8" w:rsidRPr="00C1367B">
        <w:rPr>
          <w:rStyle w:val="Emphasis"/>
          <w:b w:val="0"/>
          <w:i w:val="0"/>
        </w:rPr>
        <w:t>ication and review and be in accordance with requirements detailed in</w:t>
      </w:r>
      <w:r w:rsidR="006027A8" w:rsidRPr="00FF4D84">
        <w:rPr>
          <w:rStyle w:val="Emphasis"/>
          <w:b w:val="0"/>
          <w:i w:val="0"/>
        </w:rPr>
        <w:t xml:space="preserve"> </w:t>
      </w:r>
      <w:hyperlink r:id="rId16" w:history="1">
        <w:r w:rsidR="006027A8" w:rsidRPr="00063398">
          <w:rPr>
            <w:rStyle w:val="Hyperlink"/>
          </w:rPr>
          <w:t xml:space="preserve">Document Control </w:t>
        </w:r>
        <w:r w:rsidR="00695A44" w:rsidRPr="00063398">
          <w:rPr>
            <w:rStyle w:val="Hyperlink"/>
          </w:rPr>
          <w:t xml:space="preserve">Procedure </w:t>
        </w:r>
        <w:r w:rsidR="002E2871">
          <w:rPr>
            <w:rStyle w:val="Hyperlink"/>
          </w:rPr>
          <w:t>(23</w:t>
        </w:r>
        <w:r w:rsidR="006027A8" w:rsidRPr="00063398">
          <w:rPr>
            <w:rStyle w:val="Hyperlink"/>
          </w:rPr>
          <w:t>)</w:t>
        </w:r>
      </w:hyperlink>
      <w:r w:rsidR="006027A8" w:rsidRPr="00FF4D84">
        <w:rPr>
          <w:rStyle w:val="Emphasis"/>
          <w:b w:val="0"/>
          <w:i w:val="0"/>
        </w:rPr>
        <w:t>.</w:t>
      </w:r>
    </w:p>
    <w:p w14:paraId="1A6E5DE2" w14:textId="77777777" w:rsidR="00041976" w:rsidRPr="00593095" w:rsidRDefault="00041976" w:rsidP="00593095">
      <w:pPr>
        <w:pStyle w:val="Heading2"/>
        <w:rPr>
          <w:rStyle w:val="Emphasis"/>
          <w:i w:val="0"/>
          <w:iCs w:val="0"/>
        </w:rPr>
      </w:pPr>
      <w:bookmarkStart w:id="13" w:name="_Toc103673785"/>
      <w:r w:rsidRPr="00593095">
        <w:rPr>
          <w:rStyle w:val="Emphasis"/>
          <w:i w:val="0"/>
          <w:iCs w:val="0"/>
        </w:rPr>
        <w:t>Review</w:t>
      </w:r>
      <w:bookmarkEnd w:id="13"/>
    </w:p>
    <w:p w14:paraId="17145FC0" w14:textId="77777777" w:rsidR="00041976" w:rsidRDefault="006027A8" w:rsidP="006A2C6D">
      <w:pPr>
        <w:pStyle w:val="Style1"/>
        <w:numPr>
          <w:ilvl w:val="0"/>
          <w:numId w:val="0"/>
        </w:numPr>
        <w:spacing w:after="120"/>
        <w:ind w:left="1080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This procedure will be subject to a planned review by the document owner in accordance with the requirements outline in</w:t>
      </w:r>
      <w:r w:rsidRPr="00FF4D84">
        <w:rPr>
          <w:rStyle w:val="Emphasis"/>
          <w:b w:val="0"/>
          <w:i w:val="0"/>
        </w:rPr>
        <w:t xml:space="preserve"> </w:t>
      </w:r>
      <w:hyperlink r:id="rId17" w:history="1">
        <w:r w:rsidRPr="00063398">
          <w:rPr>
            <w:rStyle w:val="Hyperlink"/>
          </w:rPr>
          <w:t>Document Control</w:t>
        </w:r>
        <w:r w:rsidR="00695A44" w:rsidRPr="00063398">
          <w:rPr>
            <w:rStyle w:val="Hyperlink"/>
          </w:rPr>
          <w:t xml:space="preserve"> Procedure</w:t>
        </w:r>
        <w:r w:rsidRPr="00063398">
          <w:rPr>
            <w:rStyle w:val="Hyperlink"/>
          </w:rPr>
          <w:t xml:space="preserve"> (2</w:t>
        </w:r>
        <w:r w:rsidR="002E2871">
          <w:rPr>
            <w:rStyle w:val="Hyperlink"/>
          </w:rPr>
          <w:t>3</w:t>
        </w:r>
        <w:r w:rsidRPr="00063398">
          <w:rPr>
            <w:rStyle w:val="Hyperlink"/>
          </w:rPr>
          <w:t>)</w:t>
        </w:r>
      </w:hyperlink>
      <w:r w:rsidRPr="00FF4D84">
        <w:rPr>
          <w:rStyle w:val="Emphasis"/>
          <w:b w:val="0"/>
          <w:i w:val="0"/>
        </w:rPr>
        <w:t>.</w:t>
      </w:r>
    </w:p>
    <w:p w14:paraId="03AA0885" w14:textId="77777777" w:rsidR="00E021D2" w:rsidRDefault="00E021D2" w:rsidP="006A2C6D">
      <w:pPr>
        <w:pStyle w:val="Style1"/>
        <w:numPr>
          <w:ilvl w:val="0"/>
          <w:numId w:val="0"/>
        </w:numPr>
        <w:spacing w:after="120"/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Other methods for reviewing and evaluating the performance of this procedure will include:</w:t>
      </w:r>
    </w:p>
    <w:p w14:paraId="2D157989" w14:textId="3F505482" w:rsidR="00E021D2" w:rsidRDefault="00E021D2" w:rsidP="00E021D2">
      <w:pPr>
        <w:pStyle w:val="Style1"/>
        <w:numPr>
          <w:ilvl w:val="0"/>
          <w:numId w:val="23"/>
        </w:numPr>
        <w:spacing w:after="12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 xml:space="preserve">audit </w:t>
      </w:r>
      <w:r w:rsidR="00D807C7">
        <w:rPr>
          <w:rStyle w:val="Emphasis"/>
          <w:b w:val="0"/>
          <w:i w:val="0"/>
        </w:rPr>
        <w:t>activity.</w:t>
      </w:r>
    </w:p>
    <w:p w14:paraId="2BE43E7C" w14:textId="07C6C6B6" w:rsidR="00E021D2" w:rsidRDefault="00D807C7" w:rsidP="00E021D2">
      <w:pPr>
        <w:pStyle w:val="Style1"/>
        <w:numPr>
          <w:ilvl w:val="0"/>
          <w:numId w:val="23"/>
        </w:numPr>
        <w:spacing w:after="12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investigations.</w:t>
      </w:r>
    </w:p>
    <w:p w14:paraId="6E3DD9FC" w14:textId="77777777" w:rsidR="00E021D2" w:rsidRPr="00FF4D84" w:rsidRDefault="00E021D2" w:rsidP="00E021D2">
      <w:pPr>
        <w:pStyle w:val="Style1"/>
        <w:numPr>
          <w:ilvl w:val="0"/>
          <w:numId w:val="23"/>
        </w:numPr>
        <w:spacing w:after="12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performance reports.</w:t>
      </w:r>
    </w:p>
    <w:p w14:paraId="55E08890" w14:textId="77777777" w:rsidR="00041976" w:rsidRPr="00593095" w:rsidRDefault="00423EE5" w:rsidP="00593095">
      <w:pPr>
        <w:pStyle w:val="Heading1"/>
        <w:rPr>
          <w:rStyle w:val="Emphasis"/>
          <w:i w:val="0"/>
          <w:iCs w:val="0"/>
        </w:rPr>
      </w:pPr>
      <w:bookmarkStart w:id="14" w:name="_Toc103673786"/>
      <w:r w:rsidRPr="00593095">
        <w:rPr>
          <w:rStyle w:val="Emphasis"/>
          <w:i w:val="0"/>
          <w:iCs w:val="0"/>
        </w:rPr>
        <w:lastRenderedPageBreak/>
        <w:t>RELATED SYSTEM DOCUMENTS</w:t>
      </w:r>
      <w:bookmarkEnd w:id="14"/>
    </w:p>
    <w:p w14:paraId="21E3EB6F" w14:textId="77777777" w:rsidR="00423EE5" w:rsidRPr="00593095" w:rsidRDefault="00423EE5" w:rsidP="00593095">
      <w:pPr>
        <w:pStyle w:val="Heading2"/>
        <w:rPr>
          <w:rStyle w:val="Emphasis"/>
          <w:i w:val="0"/>
          <w:iCs w:val="0"/>
        </w:rPr>
      </w:pPr>
      <w:bookmarkStart w:id="15" w:name="_Toc103673787"/>
      <w:r w:rsidRPr="00593095">
        <w:rPr>
          <w:rStyle w:val="Emphasis"/>
          <w:i w:val="0"/>
          <w:iCs w:val="0"/>
        </w:rPr>
        <w:t>Policies &amp; Procedures</w:t>
      </w:r>
      <w:bookmarkEnd w:id="15"/>
    </w:p>
    <w:p w14:paraId="3FCBC31D" w14:textId="77777777" w:rsidR="007D3560" w:rsidRDefault="007D3560" w:rsidP="00063398">
      <w:pPr>
        <w:pStyle w:val="Style1"/>
        <w:numPr>
          <w:ilvl w:val="0"/>
          <w:numId w:val="0"/>
        </w:numPr>
        <w:spacing w:after="120"/>
        <w:ind w:left="1080"/>
        <w:contextualSpacing w:val="0"/>
        <w:rPr>
          <w:rStyle w:val="Emphasis"/>
          <w:b w:val="0"/>
          <w:i w:val="0"/>
        </w:rPr>
      </w:pPr>
      <w:r w:rsidRPr="007D3560">
        <w:rPr>
          <w:b w:val="0"/>
        </w:rPr>
        <w:t>Challenging Behaviours, Aggression &amp; Violence (18)</w:t>
      </w:r>
    </w:p>
    <w:p w14:paraId="0708F572" w14:textId="77777777" w:rsidR="00063398" w:rsidRDefault="00063398" w:rsidP="00063398">
      <w:pPr>
        <w:pStyle w:val="Style1"/>
        <w:numPr>
          <w:ilvl w:val="0"/>
          <w:numId w:val="0"/>
        </w:numPr>
        <w:spacing w:after="120"/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Consultation &amp; Communication Procedure (5)</w:t>
      </w:r>
    </w:p>
    <w:p w14:paraId="7DBCDBF2" w14:textId="77777777" w:rsidR="00063398" w:rsidRDefault="002E2871" w:rsidP="00063398">
      <w:pPr>
        <w:pStyle w:val="Style1"/>
        <w:numPr>
          <w:ilvl w:val="0"/>
          <w:numId w:val="0"/>
        </w:numPr>
        <w:spacing w:after="120"/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Document Control Procedure (23</w:t>
      </w:r>
      <w:r w:rsidR="00063398">
        <w:rPr>
          <w:rStyle w:val="Emphasis"/>
          <w:b w:val="0"/>
          <w:i w:val="0"/>
        </w:rPr>
        <w:t>)</w:t>
      </w:r>
    </w:p>
    <w:p w14:paraId="514EC255" w14:textId="77777777" w:rsidR="00063398" w:rsidRDefault="00063398" w:rsidP="00063398">
      <w:pPr>
        <w:pStyle w:val="Style1"/>
        <w:numPr>
          <w:ilvl w:val="0"/>
          <w:numId w:val="0"/>
        </w:numPr>
        <w:spacing w:after="120"/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Hazard Management Procedure (14)</w:t>
      </w:r>
    </w:p>
    <w:p w14:paraId="5582149D" w14:textId="77777777" w:rsidR="00063398" w:rsidRPr="00C1367B" w:rsidRDefault="00063398" w:rsidP="00063398">
      <w:pPr>
        <w:pStyle w:val="Style1"/>
        <w:numPr>
          <w:ilvl w:val="0"/>
          <w:numId w:val="0"/>
        </w:numPr>
        <w:spacing w:after="120"/>
        <w:ind w:left="1080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Responsibility, Authority &amp; Accountability Procedure (</w:t>
      </w:r>
      <w:r w:rsidR="002E2871">
        <w:rPr>
          <w:rStyle w:val="Emphasis"/>
          <w:b w:val="0"/>
          <w:i w:val="0"/>
        </w:rPr>
        <w:t>12</w:t>
      </w:r>
      <w:r w:rsidRPr="00C1367B">
        <w:rPr>
          <w:rStyle w:val="Emphasis"/>
          <w:b w:val="0"/>
          <w:i w:val="0"/>
        </w:rPr>
        <w:t>)</w:t>
      </w:r>
    </w:p>
    <w:p w14:paraId="7A5DADCA" w14:textId="77777777" w:rsidR="00423EE5" w:rsidRPr="00593095" w:rsidRDefault="00423EE5" w:rsidP="00593095">
      <w:pPr>
        <w:pStyle w:val="Heading2"/>
        <w:rPr>
          <w:rStyle w:val="Emphasis"/>
          <w:i w:val="0"/>
          <w:iCs w:val="0"/>
        </w:rPr>
      </w:pPr>
      <w:bookmarkStart w:id="16" w:name="_Toc103673788"/>
      <w:r w:rsidRPr="00593095">
        <w:rPr>
          <w:rStyle w:val="Emphasis"/>
          <w:i w:val="0"/>
          <w:iCs w:val="0"/>
        </w:rPr>
        <w:t>Forms &amp; Tools</w:t>
      </w:r>
      <w:bookmarkEnd w:id="16"/>
    </w:p>
    <w:p w14:paraId="76E107A7" w14:textId="77777777" w:rsidR="0082289C" w:rsidRDefault="0082289C" w:rsidP="00DB7CF2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Nil</w:t>
      </w:r>
    </w:p>
    <w:p w14:paraId="31EF99D0" w14:textId="77777777" w:rsidR="00423EE5" w:rsidRPr="00593095" w:rsidRDefault="00423EE5" w:rsidP="00593095">
      <w:pPr>
        <w:pStyle w:val="Heading1"/>
        <w:rPr>
          <w:rStyle w:val="Emphasis"/>
          <w:i w:val="0"/>
          <w:iCs w:val="0"/>
        </w:rPr>
      </w:pPr>
      <w:bookmarkStart w:id="17" w:name="_Toc103673789"/>
      <w:r w:rsidRPr="00593095">
        <w:rPr>
          <w:rStyle w:val="Emphasis"/>
          <w:i w:val="0"/>
          <w:iCs w:val="0"/>
        </w:rPr>
        <w:t>REFERENCES</w:t>
      </w:r>
      <w:bookmarkEnd w:id="17"/>
    </w:p>
    <w:p w14:paraId="4FEC9C0D" w14:textId="77777777" w:rsidR="000A0462" w:rsidRPr="006A2C6D" w:rsidRDefault="008826F3" w:rsidP="006A2C6D">
      <w:pPr>
        <w:pStyle w:val="Style1"/>
        <w:numPr>
          <w:ilvl w:val="0"/>
          <w:numId w:val="0"/>
        </w:numPr>
        <w:spacing w:after="120"/>
        <w:ind w:left="378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 xml:space="preserve">Legislation and other requirements related to this procedure are defined in </w:t>
      </w:r>
      <w:hyperlink r:id="rId18" w:history="1">
        <w:r w:rsidR="008104A5">
          <w:rPr>
            <w:rStyle w:val="Hyperlink"/>
          </w:rPr>
          <w:t>Group Legal Register (010T</w:t>
        </w:r>
      </w:hyperlink>
      <w:r w:rsidR="008104A5">
        <w:rPr>
          <w:rStyle w:val="Hyperlink"/>
        </w:rPr>
        <w:t>)</w:t>
      </w:r>
      <w:r w:rsidRPr="00C1367B">
        <w:rPr>
          <w:rStyle w:val="Emphasis"/>
          <w:b w:val="0"/>
          <w:i w:val="0"/>
        </w:rPr>
        <w:t xml:space="preserve"> which can be accessed via the</w:t>
      </w:r>
      <w:r w:rsidRPr="00FE5B54">
        <w:rPr>
          <w:rStyle w:val="Emphasis"/>
          <w:b w:val="0"/>
          <w:i w:val="0"/>
        </w:rPr>
        <w:t xml:space="preserve"> Ca</w:t>
      </w:r>
      <w:r w:rsidR="00DB7CF2">
        <w:rPr>
          <w:rStyle w:val="Emphasis"/>
          <w:b w:val="0"/>
          <w:i w:val="0"/>
        </w:rPr>
        <w:t>tholic Safety Health SA Website</w:t>
      </w:r>
      <w:r w:rsidR="006A2C6D">
        <w:rPr>
          <w:rStyle w:val="Emphasis"/>
          <w:b w:val="0"/>
          <w:i w:val="0"/>
        </w:rPr>
        <w:t>.</w:t>
      </w:r>
    </w:p>
    <w:p w14:paraId="432B703F" w14:textId="77777777" w:rsidR="00DB7CF2" w:rsidRDefault="00DB7CF2" w:rsidP="006A2C6D">
      <w:pPr>
        <w:pStyle w:val="Heading2"/>
        <w:rPr>
          <w:rStyle w:val="Emphasis"/>
          <w:i w:val="0"/>
          <w:iCs w:val="0"/>
        </w:rPr>
      </w:pPr>
      <w:bookmarkStart w:id="18" w:name="_Toc103673790"/>
      <w:r>
        <w:rPr>
          <w:rStyle w:val="Emphasis"/>
          <w:i w:val="0"/>
          <w:iCs w:val="0"/>
        </w:rPr>
        <w:t>Internal References</w:t>
      </w:r>
      <w:bookmarkEnd w:id="18"/>
    </w:p>
    <w:p w14:paraId="747DEC56" w14:textId="77777777" w:rsidR="0082289C" w:rsidRPr="00086354" w:rsidRDefault="0082289C" w:rsidP="0082289C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086354">
        <w:rPr>
          <w:rStyle w:val="Emphasis"/>
          <w:b w:val="0"/>
          <w:i w:val="0"/>
        </w:rPr>
        <w:t>Responsibility, Authority &amp; Accountability Matrix – Managers &amp; Supervisors (0</w:t>
      </w:r>
      <w:r>
        <w:rPr>
          <w:rStyle w:val="Emphasis"/>
          <w:b w:val="0"/>
          <w:i w:val="0"/>
        </w:rPr>
        <w:t>23G</w:t>
      </w:r>
      <w:r w:rsidRPr="00086354">
        <w:rPr>
          <w:rStyle w:val="Emphasis"/>
          <w:b w:val="0"/>
          <w:i w:val="0"/>
        </w:rPr>
        <w:t>)</w:t>
      </w:r>
    </w:p>
    <w:p w14:paraId="1DE09C13" w14:textId="77777777" w:rsidR="0082289C" w:rsidRDefault="0082289C" w:rsidP="0082289C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DB7CF2">
        <w:rPr>
          <w:rStyle w:val="Emphasis"/>
          <w:b w:val="0"/>
          <w:i w:val="0"/>
        </w:rPr>
        <w:t>Responsibility, Authority &amp; Accounta</w:t>
      </w:r>
      <w:r>
        <w:rPr>
          <w:rStyle w:val="Emphasis"/>
          <w:b w:val="0"/>
          <w:i w:val="0"/>
        </w:rPr>
        <w:t>bility Matrix – Officers (024G)</w:t>
      </w:r>
    </w:p>
    <w:p w14:paraId="4CD0500E" w14:textId="77777777" w:rsidR="0082289C" w:rsidRDefault="0082289C" w:rsidP="0082289C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DB7CF2">
        <w:rPr>
          <w:rStyle w:val="Emphasis"/>
          <w:b w:val="0"/>
          <w:i w:val="0"/>
        </w:rPr>
        <w:t>Responsibility, Authority &amp; Accountability Matrix – Workers (0</w:t>
      </w:r>
      <w:r>
        <w:rPr>
          <w:rStyle w:val="Emphasis"/>
          <w:b w:val="0"/>
          <w:i w:val="0"/>
        </w:rPr>
        <w:t>25G</w:t>
      </w:r>
      <w:r w:rsidRPr="00DB7CF2">
        <w:rPr>
          <w:rStyle w:val="Emphasis"/>
          <w:b w:val="0"/>
          <w:i w:val="0"/>
        </w:rPr>
        <w:t xml:space="preserve">) </w:t>
      </w:r>
    </w:p>
    <w:p w14:paraId="6E9C0A0A" w14:textId="77777777" w:rsidR="006A2C6D" w:rsidRDefault="006A2C6D" w:rsidP="006A2C6D">
      <w:pPr>
        <w:pStyle w:val="Heading2"/>
        <w:rPr>
          <w:rStyle w:val="Emphasis"/>
          <w:i w:val="0"/>
          <w:iCs w:val="0"/>
        </w:rPr>
      </w:pPr>
      <w:bookmarkStart w:id="19" w:name="_Toc103673791"/>
      <w:r>
        <w:rPr>
          <w:rStyle w:val="Emphasis"/>
          <w:i w:val="0"/>
          <w:iCs w:val="0"/>
        </w:rPr>
        <w:t>External Resources</w:t>
      </w:r>
      <w:bookmarkEnd w:id="19"/>
    </w:p>
    <w:p w14:paraId="733A237B" w14:textId="77777777" w:rsidR="00556D23" w:rsidRDefault="00556D23" w:rsidP="00556D2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Cognition (Employee Assistance Program) – </w:t>
      </w:r>
      <w:hyperlink r:id="rId19" w:history="1">
        <w:r w:rsidRPr="00FF34BA">
          <w:rPr>
            <w:rStyle w:val="Hyperlink"/>
            <w:rFonts w:ascii="Arial" w:hAnsi="Arial" w:cs="Arial"/>
          </w:rPr>
          <w:t>www.cognition.com.au</w:t>
        </w:r>
      </w:hyperlink>
      <w:r>
        <w:rPr>
          <w:rFonts w:ascii="Arial" w:hAnsi="Arial" w:cs="Arial"/>
        </w:rPr>
        <w:t xml:space="preserve">. </w:t>
      </w:r>
    </w:p>
    <w:p w14:paraId="18701DA6" w14:textId="77777777" w:rsidR="006A2C6D" w:rsidRDefault="00556D23" w:rsidP="00556D2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Ph. 8373 2688</w:t>
      </w:r>
      <w:r w:rsidR="00EB508E">
        <w:rPr>
          <w:rFonts w:ascii="Arial" w:hAnsi="Arial" w:cs="Arial"/>
        </w:rPr>
        <w:t>, Centa</w:t>
      </w:r>
      <w:r w:rsidR="00147F00">
        <w:rPr>
          <w:rFonts w:ascii="Arial" w:hAnsi="Arial" w:cs="Arial"/>
        </w:rPr>
        <w:t>c</w:t>
      </w:r>
      <w:r w:rsidR="00EB508E">
        <w:rPr>
          <w:rFonts w:ascii="Arial" w:hAnsi="Arial" w:cs="Arial"/>
        </w:rPr>
        <w:t>are</w:t>
      </w:r>
      <w:r w:rsidR="00147F00">
        <w:rPr>
          <w:rFonts w:ascii="Arial" w:hAnsi="Arial" w:cs="Arial"/>
        </w:rPr>
        <w:t xml:space="preserve"> Adelaide</w:t>
      </w:r>
    </w:p>
    <w:p w14:paraId="202E1571" w14:textId="77777777" w:rsidR="00B30F5C" w:rsidRDefault="00B30F5C" w:rsidP="00B30F5C">
      <w:pPr>
        <w:ind w:left="1080"/>
        <w:rPr>
          <w:rFonts w:ascii="Arial" w:hAnsi="Arial" w:cs="Arial"/>
        </w:rPr>
      </w:pPr>
      <w:r w:rsidRPr="00EB508E">
        <w:rPr>
          <w:rFonts w:ascii="Arial" w:hAnsi="Arial" w:cs="Arial"/>
        </w:rPr>
        <w:t>Access</w:t>
      </w:r>
      <w:r w:rsidR="00EB508E">
        <w:rPr>
          <w:rFonts w:ascii="Arial" w:hAnsi="Arial" w:cs="Arial"/>
        </w:rPr>
        <w:t xml:space="preserve"> (Employee Assistance Program) – </w:t>
      </w:r>
      <w:hyperlink r:id="rId20" w:history="1">
        <w:r w:rsidR="00EB508E" w:rsidRPr="003E2188">
          <w:rPr>
            <w:rStyle w:val="Hyperlink"/>
            <w:rFonts w:ascii="Arial" w:hAnsi="Arial" w:cs="Arial"/>
          </w:rPr>
          <w:t>www.accesssa.com.au</w:t>
        </w:r>
      </w:hyperlink>
    </w:p>
    <w:p w14:paraId="22F94301" w14:textId="77777777" w:rsidR="00EB508E" w:rsidRPr="00EB508E" w:rsidRDefault="00EB508E" w:rsidP="00B30F5C">
      <w:pPr>
        <w:ind w:left="1080"/>
        <w:rPr>
          <w:rFonts w:ascii="Arial" w:hAnsi="Arial" w:cs="Arial"/>
        </w:rPr>
      </w:pPr>
      <w:r w:rsidRPr="00EB508E">
        <w:rPr>
          <w:rFonts w:ascii="Arial" w:hAnsi="Arial" w:cs="Arial"/>
        </w:rPr>
        <w:t>Phone 1300 66 77 00</w:t>
      </w:r>
      <w:r>
        <w:rPr>
          <w:rFonts w:ascii="Arial" w:hAnsi="Arial" w:cs="Arial"/>
        </w:rPr>
        <w:t>, All others</w:t>
      </w:r>
    </w:p>
    <w:p w14:paraId="4F8C449F" w14:textId="77777777" w:rsidR="00423EE5" w:rsidRPr="00593095" w:rsidRDefault="00423EE5" w:rsidP="00593095">
      <w:pPr>
        <w:pStyle w:val="Heading1"/>
        <w:rPr>
          <w:rStyle w:val="Emphasis"/>
          <w:i w:val="0"/>
          <w:iCs w:val="0"/>
        </w:rPr>
      </w:pPr>
      <w:bookmarkStart w:id="20" w:name="_Toc103673792"/>
      <w:r w:rsidRPr="00593095">
        <w:rPr>
          <w:rStyle w:val="Emphasis"/>
          <w:i w:val="0"/>
          <w:iCs w:val="0"/>
        </w:rPr>
        <w:t>AUDITABLE OUTPUTS</w:t>
      </w:r>
      <w:bookmarkEnd w:id="20"/>
    </w:p>
    <w:p w14:paraId="533157A2" w14:textId="77777777" w:rsidR="008826F3" w:rsidRDefault="008826F3" w:rsidP="00593095">
      <w:pPr>
        <w:pStyle w:val="Style1"/>
        <w:numPr>
          <w:ilvl w:val="0"/>
          <w:numId w:val="0"/>
        </w:numPr>
        <w:spacing w:after="120"/>
        <w:ind w:left="378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The following examples of records will be used to verify implementation of this procedure</w:t>
      </w:r>
      <w:r w:rsidR="00C1367B">
        <w:rPr>
          <w:rStyle w:val="Emphasis"/>
          <w:b w:val="0"/>
          <w:i w:val="0"/>
        </w:rPr>
        <w:t>:</w:t>
      </w:r>
    </w:p>
    <w:p w14:paraId="26FBD3D2" w14:textId="77777777" w:rsidR="006A2C6D" w:rsidRDefault="006A2C6D" w:rsidP="006A2C6D">
      <w:pPr>
        <w:pStyle w:val="Style1"/>
        <w:numPr>
          <w:ilvl w:val="0"/>
          <w:numId w:val="22"/>
        </w:numPr>
        <w:spacing w:after="12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Risk Assessments</w:t>
      </w:r>
    </w:p>
    <w:p w14:paraId="25F9DD55" w14:textId="77777777" w:rsidR="006A2C6D" w:rsidRDefault="006A2C6D" w:rsidP="006A2C6D">
      <w:pPr>
        <w:pStyle w:val="Style1"/>
        <w:numPr>
          <w:ilvl w:val="0"/>
          <w:numId w:val="22"/>
        </w:numPr>
        <w:spacing w:after="12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Investigation Reports</w:t>
      </w:r>
    </w:p>
    <w:p w14:paraId="7DACC8A3" w14:textId="77777777" w:rsidR="006A2C6D" w:rsidRDefault="006A2C6D" w:rsidP="006A2C6D">
      <w:pPr>
        <w:pStyle w:val="Style1"/>
        <w:numPr>
          <w:ilvl w:val="0"/>
          <w:numId w:val="22"/>
        </w:numPr>
        <w:spacing w:after="12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Grievance Statements</w:t>
      </w:r>
    </w:p>
    <w:p w14:paraId="689A0F59" w14:textId="77777777" w:rsidR="006A2C6D" w:rsidRDefault="006A2C6D" w:rsidP="006A2C6D">
      <w:pPr>
        <w:pStyle w:val="Style1"/>
        <w:numPr>
          <w:ilvl w:val="0"/>
          <w:numId w:val="22"/>
        </w:numPr>
        <w:spacing w:after="12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Bullying and Harassment Training</w:t>
      </w:r>
    </w:p>
    <w:p w14:paraId="794BA62A" w14:textId="77777777" w:rsidR="00D02FF5" w:rsidRPr="00C1367B" w:rsidRDefault="00D02FF5" w:rsidP="006A2C6D">
      <w:pPr>
        <w:pStyle w:val="Style1"/>
        <w:numPr>
          <w:ilvl w:val="0"/>
          <w:numId w:val="22"/>
        </w:numPr>
        <w:spacing w:after="12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Contact Officers</w:t>
      </w:r>
    </w:p>
    <w:p w14:paraId="66329B7B" w14:textId="77777777" w:rsidR="00423EE5" w:rsidRPr="00C1367B" w:rsidRDefault="00423EE5" w:rsidP="00FE5B54">
      <w:pPr>
        <w:pStyle w:val="Style1"/>
        <w:numPr>
          <w:ilvl w:val="0"/>
          <w:numId w:val="0"/>
        </w:numPr>
        <w:spacing w:after="120"/>
        <w:ind w:left="709"/>
        <w:contextualSpacing w:val="0"/>
      </w:pPr>
    </w:p>
    <w:sectPr w:rsidR="00423EE5" w:rsidRPr="00C1367B" w:rsidSect="00DB7CF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151C" w14:textId="77777777" w:rsidR="004E1C70" w:rsidRDefault="004E1C70" w:rsidP="004E1C70">
      <w:pPr>
        <w:spacing w:after="0" w:line="240" w:lineRule="auto"/>
      </w:pPr>
      <w:r>
        <w:separator/>
      </w:r>
    </w:p>
  </w:endnote>
  <w:endnote w:type="continuationSeparator" w:id="0">
    <w:p w14:paraId="74EDACE1" w14:textId="77777777" w:rsidR="004E1C70" w:rsidRDefault="004E1C70" w:rsidP="004E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8E28" w14:textId="77777777" w:rsidR="00D807C7" w:rsidRDefault="00D80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796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2BFC2C" w14:textId="77777777" w:rsidR="00423EE5" w:rsidRDefault="00423EE5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423EE5" w:rsidRPr="00DB7CF2" w14:paraId="30EC3563" w14:textId="77777777" w:rsidTr="001D7F50">
              <w:tc>
                <w:tcPr>
                  <w:tcW w:w="4508" w:type="dxa"/>
                  <w:vAlign w:val="center"/>
                </w:tcPr>
                <w:p w14:paraId="56762011" w14:textId="6FC1F288" w:rsidR="008632EB" w:rsidRPr="00DB7CF2" w:rsidRDefault="008632EB" w:rsidP="00423EE5">
                  <w:pPr>
                    <w:pStyle w:val="Foo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7CF2">
                    <w:rPr>
                      <w:rFonts w:ascii="Arial" w:hAnsi="Arial" w:cs="Arial"/>
                      <w:sz w:val="18"/>
                      <w:szCs w:val="18"/>
                    </w:rPr>
                    <w:t>Bu</w:t>
                  </w:r>
                  <w:r w:rsidR="00DA0365" w:rsidRPr="00DB7CF2">
                    <w:rPr>
                      <w:rFonts w:ascii="Arial" w:hAnsi="Arial" w:cs="Arial"/>
                      <w:sz w:val="18"/>
                      <w:szCs w:val="18"/>
                    </w:rPr>
                    <w:t>llying &amp; Harassment Procedure (21</w:t>
                  </w:r>
                  <w:r w:rsidRPr="00DB7CF2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DB7CF2">
                    <w:rPr>
                      <w:rFonts w:ascii="Arial" w:hAnsi="Arial" w:cs="Arial"/>
                      <w:sz w:val="18"/>
                      <w:szCs w:val="18"/>
                    </w:rPr>
                    <w:t xml:space="preserve"> V</w:t>
                  </w:r>
                  <w:r w:rsidR="001658D8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  <w:p w14:paraId="0CB8FE3A" w14:textId="77777777" w:rsidR="00423EE5" w:rsidRPr="00DB7CF2" w:rsidRDefault="00423EE5" w:rsidP="00423EE5">
                  <w:pPr>
                    <w:pStyle w:val="Foo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7CF2">
                    <w:rPr>
                      <w:rFonts w:ascii="Arial" w:hAnsi="Arial" w:cs="Arial"/>
                      <w:sz w:val="18"/>
                      <w:szCs w:val="18"/>
                    </w:rPr>
                    <w:t>Uncontrolled document when printed</w:t>
                  </w:r>
                </w:p>
              </w:tc>
              <w:tc>
                <w:tcPr>
                  <w:tcW w:w="4508" w:type="dxa"/>
                </w:tcPr>
                <w:p w14:paraId="2FFDA693" w14:textId="77777777" w:rsidR="00423EE5" w:rsidRPr="00DB7CF2" w:rsidRDefault="00423EE5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7CF2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DB7C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DB7C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DB7C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B16FB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5</w:t>
                  </w:r>
                  <w:r w:rsidRPr="00DB7C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DB7CF2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DB7C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DB7C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DB7C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B16FB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6</w:t>
                  </w:r>
                  <w:r w:rsidRPr="00DB7C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0C8E497" w14:textId="77777777" w:rsidR="0017242A" w:rsidRDefault="00987A96" w:rsidP="001D7F50">
            <w:pPr>
              <w:pStyle w:val="Foo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18FD" w14:textId="77777777" w:rsidR="00D807C7" w:rsidRDefault="00D80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88A7" w14:textId="77777777" w:rsidR="004E1C70" w:rsidRDefault="004E1C70" w:rsidP="004E1C70">
      <w:pPr>
        <w:spacing w:after="0" w:line="240" w:lineRule="auto"/>
      </w:pPr>
      <w:r>
        <w:separator/>
      </w:r>
    </w:p>
  </w:footnote>
  <w:footnote w:type="continuationSeparator" w:id="0">
    <w:p w14:paraId="5BE88880" w14:textId="77777777" w:rsidR="004E1C70" w:rsidRDefault="004E1C70" w:rsidP="004E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31E1" w14:textId="77777777" w:rsidR="00D807C7" w:rsidRDefault="00D80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7360"/>
    </w:tblGrid>
    <w:tr w:rsidR="001D7F50" w14:paraId="1E1749E0" w14:textId="77777777" w:rsidTr="00943637">
      <w:tc>
        <w:tcPr>
          <w:tcW w:w="1656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04C72BF2" w14:textId="77777777" w:rsidR="001D7F50" w:rsidRPr="00E021D2" w:rsidRDefault="001D7F50" w:rsidP="001D7F50">
          <w:pPr>
            <w:tabs>
              <w:tab w:val="center" w:pos="4320"/>
              <w:tab w:val="right" w:pos="8640"/>
            </w:tabs>
            <w:rPr>
              <w:rFonts w:ascii="Arial" w:hAnsi="Arial" w:cs="Arial"/>
              <w:color w:val="FF6600"/>
              <w:sz w:val="2"/>
              <w:szCs w:val="2"/>
            </w:rPr>
          </w:pPr>
          <w:r w:rsidRPr="00E021D2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7728" behindDoc="0" locked="0" layoutInCell="1" allowOverlap="1" wp14:anchorId="56ACB4C4" wp14:editId="3A9FB2FF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0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67ED8514" w14:textId="77777777" w:rsidR="001D7F50" w:rsidRPr="001D7F50" w:rsidRDefault="001D7F50" w:rsidP="001D7F50">
          <w:pPr>
            <w:tabs>
              <w:tab w:val="center" w:pos="4320"/>
              <w:tab w:val="right" w:pos="8640"/>
            </w:tabs>
            <w:rPr>
              <w:rFonts w:ascii="Arial" w:hAnsi="Arial" w:cs="Arial"/>
              <w:color w:val="FF6600"/>
              <w:sz w:val="32"/>
              <w:szCs w:val="32"/>
            </w:rPr>
          </w:pPr>
          <w:r w:rsidRPr="001D7F50">
            <w:rPr>
              <w:rFonts w:ascii="Arial" w:hAnsi="Arial" w:cs="Arial"/>
              <w:color w:val="FF6600"/>
              <w:sz w:val="32"/>
              <w:szCs w:val="32"/>
            </w:rPr>
            <w:t>Catholic Safety, Health &amp; Welfare South Australia</w:t>
          </w:r>
        </w:p>
      </w:tc>
    </w:tr>
  </w:tbl>
  <w:p w14:paraId="7E79E8A5" w14:textId="77777777" w:rsidR="004E1C70" w:rsidRPr="00E021D2" w:rsidRDefault="004E1C70" w:rsidP="001D7F5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FF6600"/>
        <w:sz w:val="24"/>
        <w:szCs w:val="24"/>
      </w:rPr>
      <w:id w:val="954060054"/>
      <w:docPartObj>
        <w:docPartGallery w:val="Watermarks"/>
        <w:docPartUnique/>
      </w:docPartObj>
    </w:sdtPr>
    <w:sdtEndPr/>
    <w:sdtContent>
      <w:p w14:paraId="363E4884" w14:textId="75F731C7" w:rsidR="00423EE5" w:rsidRDefault="00987A96" w:rsidP="00423EE5">
        <w:pPr>
          <w:tabs>
            <w:tab w:val="center" w:pos="4320"/>
            <w:tab w:val="right" w:pos="8640"/>
          </w:tabs>
          <w:spacing w:after="0"/>
          <w:rPr>
            <w:rFonts w:ascii="Arial" w:hAnsi="Arial" w:cs="Arial"/>
            <w:color w:val="FF6600"/>
            <w:sz w:val="24"/>
            <w:szCs w:val="24"/>
          </w:rPr>
        </w:pPr>
        <w:r>
          <w:rPr>
            <w:rFonts w:ascii="Arial" w:hAnsi="Arial" w:cs="Arial"/>
            <w:noProof/>
            <w:color w:val="FF6600"/>
            <w:sz w:val="24"/>
            <w:szCs w:val="24"/>
          </w:rPr>
          <w:pict w14:anchorId="5B087F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7360"/>
    </w:tblGrid>
    <w:tr w:rsidR="001D7F50" w14:paraId="3C6DE22B" w14:textId="77777777" w:rsidTr="001D7F50">
      <w:tc>
        <w:tcPr>
          <w:tcW w:w="1656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0E70AE72" w14:textId="77777777" w:rsidR="001D7F50" w:rsidRPr="00E021D2" w:rsidRDefault="001D7F50" w:rsidP="001D7F50">
          <w:pPr>
            <w:tabs>
              <w:tab w:val="center" w:pos="4320"/>
              <w:tab w:val="right" w:pos="8640"/>
            </w:tabs>
            <w:rPr>
              <w:rFonts w:ascii="Arial" w:hAnsi="Arial" w:cs="Arial"/>
              <w:color w:val="FF6600"/>
              <w:sz w:val="2"/>
              <w:szCs w:val="2"/>
            </w:rPr>
          </w:pPr>
          <w:r w:rsidRPr="00E021D2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6704" behindDoc="0" locked="0" layoutInCell="1" allowOverlap="1" wp14:anchorId="1BA2BAC7" wp14:editId="4CE42B79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0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13E111A0" w14:textId="77777777" w:rsidR="001D7F50" w:rsidRPr="001D7F50" w:rsidRDefault="001D7F50" w:rsidP="001D7F50">
          <w:pPr>
            <w:tabs>
              <w:tab w:val="center" w:pos="4320"/>
              <w:tab w:val="right" w:pos="8640"/>
            </w:tabs>
            <w:rPr>
              <w:rFonts w:ascii="Arial" w:hAnsi="Arial" w:cs="Arial"/>
              <w:color w:val="FF6600"/>
              <w:sz w:val="32"/>
              <w:szCs w:val="32"/>
            </w:rPr>
          </w:pPr>
          <w:r w:rsidRPr="001D7F50">
            <w:rPr>
              <w:rFonts w:ascii="Arial" w:hAnsi="Arial" w:cs="Arial"/>
              <w:color w:val="FF6600"/>
              <w:sz w:val="32"/>
              <w:szCs w:val="32"/>
            </w:rPr>
            <w:t>Catholic Safety, Health &amp; Welfare South Australia</w:t>
          </w:r>
        </w:p>
      </w:tc>
    </w:tr>
  </w:tbl>
  <w:p w14:paraId="5E8A6A8E" w14:textId="77777777" w:rsidR="001D7F50" w:rsidRPr="00E021D2" w:rsidRDefault="001D7F50" w:rsidP="00423EE5">
    <w:pPr>
      <w:tabs>
        <w:tab w:val="center" w:pos="4320"/>
        <w:tab w:val="right" w:pos="8640"/>
      </w:tabs>
      <w:spacing w:after="0"/>
      <w:rPr>
        <w:rFonts w:ascii="Arial" w:hAnsi="Arial" w:cs="Arial"/>
        <w:color w:val="FF66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1E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0D5F22"/>
    <w:multiLevelType w:val="hybridMultilevel"/>
    <w:tmpl w:val="E766C64A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17041C78"/>
    <w:multiLevelType w:val="multilevel"/>
    <w:tmpl w:val="AE429F9E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CD1C96"/>
    <w:multiLevelType w:val="hybridMultilevel"/>
    <w:tmpl w:val="CF9A01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02141"/>
    <w:multiLevelType w:val="hybridMultilevel"/>
    <w:tmpl w:val="CE121C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E5732"/>
    <w:multiLevelType w:val="hybridMultilevel"/>
    <w:tmpl w:val="D38657F4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6E14569A"/>
    <w:multiLevelType w:val="hybridMultilevel"/>
    <w:tmpl w:val="53B23C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F326F1"/>
    <w:multiLevelType w:val="multilevel"/>
    <w:tmpl w:val="F174755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08613497">
    <w:abstractNumId w:val="2"/>
  </w:num>
  <w:num w:numId="2" w16cid:durableId="591743363">
    <w:abstractNumId w:val="0"/>
  </w:num>
  <w:num w:numId="3" w16cid:durableId="2142115227">
    <w:abstractNumId w:val="7"/>
  </w:num>
  <w:num w:numId="4" w16cid:durableId="1796175369">
    <w:abstractNumId w:val="2"/>
  </w:num>
  <w:num w:numId="5" w16cid:durableId="689069865">
    <w:abstractNumId w:val="2"/>
  </w:num>
  <w:num w:numId="6" w16cid:durableId="1723409949">
    <w:abstractNumId w:val="2"/>
  </w:num>
  <w:num w:numId="7" w16cid:durableId="515391607">
    <w:abstractNumId w:val="2"/>
  </w:num>
  <w:num w:numId="8" w16cid:durableId="759449082">
    <w:abstractNumId w:val="2"/>
  </w:num>
  <w:num w:numId="9" w16cid:durableId="143400220">
    <w:abstractNumId w:val="2"/>
  </w:num>
  <w:num w:numId="10" w16cid:durableId="522284347">
    <w:abstractNumId w:val="2"/>
  </w:num>
  <w:num w:numId="11" w16cid:durableId="78136846">
    <w:abstractNumId w:val="2"/>
  </w:num>
  <w:num w:numId="12" w16cid:durableId="379282794">
    <w:abstractNumId w:val="2"/>
  </w:num>
  <w:num w:numId="13" w16cid:durableId="1989436493">
    <w:abstractNumId w:val="2"/>
  </w:num>
  <w:num w:numId="14" w16cid:durableId="1773470806">
    <w:abstractNumId w:val="2"/>
  </w:num>
  <w:num w:numId="15" w16cid:durableId="2045135867">
    <w:abstractNumId w:val="2"/>
  </w:num>
  <w:num w:numId="16" w16cid:durableId="464782418">
    <w:abstractNumId w:val="2"/>
  </w:num>
  <w:num w:numId="17" w16cid:durableId="789394293">
    <w:abstractNumId w:val="2"/>
  </w:num>
  <w:num w:numId="18" w16cid:durableId="1625772660">
    <w:abstractNumId w:val="7"/>
  </w:num>
  <w:num w:numId="19" w16cid:durableId="1559970912">
    <w:abstractNumId w:val="2"/>
  </w:num>
  <w:num w:numId="20" w16cid:durableId="273169204">
    <w:abstractNumId w:val="6"/>
  </w:num>
  <w:num w:numId="21" w16cid:durableId="1492063006">
    <w:abstractNumId w:val="3"/>
  </w:num>
  <w:num w:numId="22" w16cid:durableId="534853641">
    <w:abstractNumId w:val="5"/>
  </w:num>
  <w:num w:numId="23" w16cid:durableId="1238057874">
    <w:abstractNumId w:val="4"/>
  </w:num>
  <w:num w:numId="24" w16cid:durableId="1146361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70"/>
    <w:rsid w:val="00041976"/>
    <w:rsid w:val="000560F0"/>
    <w:rsid w:val="00063398"/>
    <w:rsid w:val="00086354"/>
    <w:rsid w:val="000950C5"/>
    <w:rsid w:val="000A0462"/>
    <w:rsid w:val="0010262C"/>
    <w:rsid w:val="00147F00"/>
    <w:rsid w:val="0016580D"/>
    <w:rsid w:val="001658D8"/>
    <w:rsid w:val="0017242A"/>
    <w:rsid w:val="001D72C4"/>
    <w:rsid w:val="001D7F50"/>
    <w:rsid w:val="00254913"/>
    <w:rsid w:val="00293D71"/>
    <w:rsid w:val="002E2871"/>
    <w:rsid w:val="003238D4"/>
    <w:rsid w:val="003D3121"/>
    <w:rsid w:val="00401156"/>
    <w:rsid w:val="00423EE5"/>
    <w:rsid w:val="0044065C"/>
    <w:rsid w:val="004C36BF"/>
    <w:rsid w:val="004E1C70"/>
    <w:rsid w:val="00500F81"/>
    <w:rsid w:val="00556D23"/>
    <w:rsid w:val="005740EF"/>
    <w:rsid w:val="00593095"/>
    <w:rsid w:val="005B3028"/>
    <w:rsid w:val="005F3FA3"/>
    <w:rsid w:val="006027A8"/>
    <w:rsid w:val="00695946"/>
    <w:rsid w:val="00695A44"/>
    <w:rsid w:val="006A2C6D"/>
    <w:rsid w:val="006B16FB"/>
    <w:rsid w:val="0070064D"/>
    <w:rsid w:val="00732927"/>
    <w:rsid w:val="0077388F"/>
    <w:rsid w:val="007B206B"/>
    <w:rsid w:val="007D3560"/>
    <w:rsid w:val="00810195"/>
    <w:rsid w:val="008104A5"/>
    <w:rsid w:val="0082289C"/>
    <w:rsid w:val="008632EB"/>
    <w:rsid w:val="008826F3"/>
    <w:rsid w:val="008B0B64"/>
    <w:rsid w:val="008C42EA"/>
    <w:rsid w:val="008E1B53"/>
    <w:rsid w:val="008E3D59"/>
    <w:rsid w:val="009571E2"/>
    <w:rsid w:val="00975F1D"/>
    <w:rsid w:val="00987768"/>
    <w:rsid w:val="00987A96"/>
    <w:rsid w:val="00A13BCC"/>
    <w:rsid w:val="00A35245"/>
    <w:rsid w:val="00A4531A"/>
    <w:rsid w:val="00B30F5C"/>
    <w:rsid w:val="00BD255D"/>
    <w:rsid w:val="00C1367B"/>
    <w:rsid w:val="00C25BD2"/>
    <w:rsid w:val="00CB302A"/>
    <w:rsid w:val="00CC00FE"/>
    <w:rsid w:val="00D02FF5"/>
    <w:rsid w:val="00D7149D"/>
    <w:rsid w:val="00D807C7"/>
    <w:rsid w:val="00D8781D"/>
    <w:rsid w:val="00DA0365"/>
    <w:rsid w:val="00DB7CF2"/>
    <w:rsid w:val="00DE5726"/>
    <w:rsid w:val="00E021D2"/>
    <w:rsid w:val="00E12293"/>
    <w:rsid w:val="00E155BE"/>
    <w:rsid w:val="00E477AA"/>
    <w:rsid w:val="00E66165"/>
    <w:rsid w:val="00EB508E"/>
    <w:rsid w:val="00F2177A"/>
    <w:rsid w:val="00F628C4"/>
    <w:rsid w:val="00F70643"/>
    <w:rsid w:val="00FA12E6"/>
    <w:rsid w:val="00FA2A9E"/>
    <w:rsid w:val="00FA6F73"/>
    <w:rsid w:val="00FE54FF"/>
    <w:rsid w:val="00FE5B54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79C970CA"/>
  <w15:chartTrackingRefBased/>
  <w15:docId w15:val="{CD185E84-A21F-432A-8F5A-08ECD3E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095"/>
    <w:pPr>
      <w:numPr>
        <w:numId w:val="3"/>
      </w:numPr>
      <w:spacing w:before="120" w:after="120"/>
      <w:ind w:left="360"/>
      <w:outlineLvl w:val="0"/>
    </w:pPr>
    <w:rPr>
      <w:rFonts w:ascii="Arial" w:hAnsi="Arial" w:cs="Arial"/>
      <w:b/>
    </w:rPr>
  </w:style>
  <w:style w:type="paragraph" w:styleId="Heading2">
    <w:name w:val="heading 2"/>
    <w:basedOn w:val="Style1"/>
    <w:next w:val="Normal"/>
    <w:link w:val="Heading2Char"/>
    <w:uiPriority w:val="9"/>
    <w:unhideWhenUsed/>
    <w:qFormat/>
    <w:rsid w:val="00593095"/>
    <w:pPr>
      <w:numPr>
        <w:ilvl w:val="1"/>
        <w:numId w:val="3"/>
      </w:numPr>
      <w:spacing w:before="120" w:after="120"/>
      <w:contextualSpacing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70"/>
  </w:style>
  <w:style w:type="paragraph" w:styleId="Footer">
    <w:name w:val="footer"/>
    <w:basedOn w:val="Normal"/>
    <w:link w:val="FooterChar"/>
    <w:uiPriority w:val="99"/>
    <w:unhideWhenUsed/>
    <w:rsid w:val="004E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70"/>
  </w:style>
  <w:style w:type="table" w:styleId="TableGrid">
    <w:name w:val="Table Grid"/>
    <w:basedOn w:val="TableNormal"/>
    <w:uiPriority w:val="39"/>
    <w:rsid w:val="0070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23E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3095"/>
    <w:rPr>
      <w:rFonts w:ascii="Arial" w:hAnsi="Arial" w:cs="Arial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423EE5"/>
    <w:pPr>
      <w:outlineLvl w:val="9"/>
    </w:pPr>
    <w:rPr>
      <w:lang w:val="en-US"/>
    </w:rPr>
  </w:style>
  <w:style w:type="paragraph" w:customStyle="1" w:styleId="Style1">
    <w:name w:val="Style1"/>
    <w:basedOn w:val="ListParagraph"/>
    <w:link w:val="Style1Char"/>
    <w:qFormat/>
    <w:rsid w:val="00423EE5"/>
    <w:pPr>
      <w:numPr>
        <w:numId w:val="1"/>
      </w:numPr>
    </w:pPr>
    <w:rPr>
      <w:rFonts w:ascii="Arial" w:hAnsi="Arial" w:cs="Arial"/>
      <w:b/>
    </w:rPr>
  </w:style>
  <w:style w:type="character" w:styleId="SubtleReference">
    <w:name w:val="Subtle Reference"/>
    <w:basedOn w:val="DefaultParagraphFont"/>
    <w:uiPriority w:val="31"/>
    <w:qFormat/>
    <w:rsid w:val="00E12293"/>
    <w:rPr>
      <w:smallCaps/>
      <w:color w:val="5A5A5A" w:themeColor="text1" w:themeTint="A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3EE5"/>
  </w:style>
  <w:style w:type="character" w:customStyle="1" w:styleId="Style1Char">
    <w:name w:val="Style1 Char"/>
    <w:basedOn w:val="ListParagraphChar"/>
    <w:link w:val="Style1"/>
    <w:rsid w:val="00423EE5"/>
    <w:rPr>
      <w:rFonts w:ascii="Arial" w:hAnsi="Arial" w:cs="Arial"/>
      <w:b/>
    </w:rPr>
  </w:style>
  <w:style w:type="character" w:styleId="Emphasis">
    <w:name w:val="Emphasis"/>
    <w:basedOn w:val="DefaultParagraphFont"/>
    <w:uiPriority w:val="20"/>
    <w:qFormat/>
    <w:rsid w:val="00C1367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93095"/>
    <w:rPr>
      <w:rFonts w:ascii="Arial" w:hAnsi="Arial" w:cs="Arial"/>
      <w:b/>
    </w:rPr>
  </w:style>
  <w:style w:type="paragraph" w:styleId="TOC1">
    <w:name w:val="toc 1"/>
    <w:basedOn w:val="Normal"/>
    <w:next w:val="Normal"/>
    <w:autoRedefine/>
    <w:uiPriority w:val="39"/>
    <w:unhideWhenUsed/>
    <w:rsid w:val="00F706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5BD2"/>
    <w:pPr>
      <w:tabs>
        <w:tab w:val="left" w:pos="1134"/>
        <w:tab w:val="right" w:leader="dot" w:pos="9016"/>
      </w:tabs>
      <w:spacing w:after="100"/>
      <w:ind w:left="426"/>
    </w:pPr>
  </w:style>
  <w:style w:type="character" w:styleId="Hyperlink">
    <w:name w:val="Hyperlink"/>
    <w:basedOn w:val="DefaultParagraphFont"/>
    <w:uiPriority w:val="99"/>
    <w:unhideWhenUsed/>
    <w:rsid w:val="00F7064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0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hwsa.org.au/definitions/" TargetMode="External"/><Relationship Id="rId13" Type="http://schemas.openxmlformats.org/officeDocument/2006/relationships/hyperlink" Target="https://www.cshwsa.org.au/" TargetMode="External"/><Relationship Id="rId18" Type="http://schemas.openxmlformats.org/officeDocument/2006/relationships/hyperlink" Target="https://www.cshwsa.org.au/download/4834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shwsa.org.au/download/4131/" TargetMode="External"/><Relationship Id="rId17" Type="http://schemas.openxmlformats.org/officeDocument/2006/relationships/hyperlink" Target="https://www.cshwsa.org.au/download/896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cshwsa.org.au/download/896/" TargetMode="External"/><Relationship Id="rId20" Type="http://schemas.openxmlformats.org/officeDocument/2006/relationships/hyperlink" Target="http://www.accesssa.com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hwsa.org.au/download/4331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shwsa.org.au/download/1223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cshwsa.org.au/download/4134/" TargetMode="External"/><Relationship Id="rId19" Type="http://schemas.openxmlformats.org/officeDocument/2006/relationships/hyperlink" Target="http://www.cognition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hwsa.org.au/download/4118/" TargetMode="External"/><Relationship Id="rId14" Type="http://schemas.openxmlformats.org/officeDocument/2006/relationships/hyperlink" Target="https://www.cshwsa.org.au/download/820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8974-10C7-409C-BDC5-977A5E44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Nation</dc:creator>
  <cp:keywords/>
  <dc:description/>
  <cp:lastModifiedBy>Chris Donnelly</cp:lastModifiedBy>
  <cp:revision>4</cp:revision>
  <cp:lastPrinted>2021-01-22T01:16:00Z</cp:lastPrinted>
  <dcterms:created xsi:type="dcterms:W3CDTF">2022-05-16T00:05:00Z</dcterms:created>
  <dcterms:modified xsi:type="dcterms:W3CDTF">2022-05-17T00:27:00Z</dcterms:modified>
</cp:coreProperties>
</file>